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1A" w:rsidRDefault="00FB7B1A">
      <w:pPr>
        <w:spacing w:line="600" w:lineRule="exact"/>
        <w:jc w:val="center"/>
        <w:outlineLvl w:val="0"/>
        <w:rPr>
          <w:rFonts w:ascii="方正小标宋简体" w:eastAsia="方正小标宋简体" w:hAnsi="宋体" w:hint="eastAsia"/>
          <w:sz w:val="72"/>
          <w:szCs w:val="72"/>
        </w:rPr>
      </w:pPr>
      <w:bookmarkStart w:id="0" w:name="_Toc15306267"/>
    </w:p>
    <w:p w:rsidR="00FB7B1A" w:rsidRDefault="00FB7B1A">
      <w:pPr>
        <w:spacing w:line="600" w:lineRule="exact"/>
        <w:jc w:val="center"/>
        <w:outlineLvl w:val="0"/>
        <w:rPr>
          <w:rFonts w:ascii="方正小标宋简体" w:eastAsia="方正小标宋简体" w:hAnsi="宋体"/>
          <w:sz w:val="72"/>
          <w:szCs w:val="72"/>
        </w:rPr>
      </w:pPr>
    </w:p>
    <w:p w:rsidR="00FB7B1A" w:rsidRDefault="00FB7B1A">
      <w:pPr>
        <w:spacing w:line="600" w:lineRule="exact"/>
        <w:jc w:val="center"/>
        <w:outlineLvl w:val="0"/>
        <w:rPr>
          <w:rFonts w:ascii="方正小标宋简体" w:eastAsia="方正小标宋简体" w:hAnsi="宋体"/>
          <w:sz w:val="72"/>
          <w:szCs w:val="72"/>
        </w:rPr>
      </w:pPr>
    </w:p>
    <w:p w:rsidR="00FB7B1A" w:rsidRDefault="00FB7B1A">
      <w:pPr>
        <w:spacing w:line="600" w:lineRule="exact"/>
        <w:jc w:val="center"/>
        <w:outlineLvl w:val="0"/>
        <w:rPr>
          <w:rFonts w:ascii="方正小标宋简体" w:eastAsia="方正小标宋简体" w:hAnsi="宋体"/>
          <w:sz w:val="72"/>
          <w:szCs w:val="72"/>
        </w:rPr>
      </w:pPr>
    </w:p>
    <w:p w:rsidR="00FB7B1A" w:rsidRDefault="00A5784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8441"/>
      <w:bookmarkStart w:id="3" w:name="_Toc15396597"/>
      <w:bookmarkStart w:id="4" w:name="_Toc15396475"/>
      <w:bookmarkStart w:id="5" w:name="_Toc15377425"/>
      <w:bookmarkStart w:id="6" w:name="_Toc115080892"/>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bookmarkEnd w:id="6"/>
    </w:p>
    <w:p w:rsidR="00D82F35" w:rsidRDefault="00D82F35" w:rsidP="00D82F35">
      <w:pPr>
        <w:adjustRightInd w:val="0"/>
        <w:snapToGrid w:val="0"/>
        <w:spacing w:line="360" w:lineRule="auto"/>
        <w:jc w:val="center"/>
        <w:outlineLvl w:val="0"/>
        <w:rPr>
          <w:rFonts w:ascii="方正小标宋简体" w:eastAsia="方正小标宋简体" w:hAnsi="宋体"/>
          <w:color w:val="000000"/>
          <w:sz w:val="72"/>
          <w:szCs w:val="72"/>
        </w:rPr>
      </w:pPr>
      <w:bookmarkStart w:id="7" w:name="_Toc115080893"/>
      <w:bookmarkEnd w:id="0"/>
      <w:r>
        <w:rPr>
          <w:rFonts w:ascii="方正小标宋简体" w:eastAsia="方正小标宋简体" w:hAnsi="宋体" w:hint="eastAsia"/>
          <w:color w:val="000000"/>
          <w:sz w:val="72"/>
          <w:szCs w:val="72"/>
        </w:rPr>
        <w:t>宜宾市</w:t>
      </w:r>
      <w:bookmarkEnd w:id="7"/>
      <w:r w:rsidR="009950E1">
        <w:rPr>
          <w:rFonts w:ascii="方正小标宋简体" w:eastAsia="方正小标宋简体" w:hAnsi="宋体" w:hint="eastAsia"/>
          <w:color w:val="000000"/>
          <w:sz w:val="72"/>
          <w:szCs w:val="72"/>
        </w:rPr>
        <w:t>职业技术学校</w:t>
      </w:r>
    </w:p>
    <w:p w:rsidR="00D82F35" w:rsidRDefault="00930844" w:rsidP="00D82F35">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决算公开编制说明</w:t>
      </w:r>
    </w:p>
    <w:p w:rsidR="00FB7B1A" w:rsidRDefault="00A57848">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FB7B1A" w:rsidRDefault="00FB7B1A">
      <w:pPr>
        <w:widowControl/>
        <w:jc w:val="center"/>
        <w:rPr>
          <w:rFonts w:ascii="黑体" w:eastAsia="黑体" w:hAnsi="黑体" w:cstheme="minorBidi"/>
          <w:sz w:val="28"/>
          <w:szCs w:val="28"/>
        </w:rPr>
      </w:pPr>
    </w:p>
    <w:p w:rsidR="00FB7B1A" w:rsidRDefault="00A57848">
      <w:pPr>
        <w:pStyle w:val="10"/>
      </w:pPr>
      <w:r>
        <w:rPr>
          <w:rFonts w:hint="eastAsia"/>
        </w:rPr>
        <w:t>公开时间：2022年9月</w:t>
      </w:r>
      <w:r w:rsidR="003A2160">
        <w:rPr>
          <w:rFonts w:hint="eastAsia"/>
        </w:rPr>
        <w:t>28</w:t>
      </w:r>
      <w:r>
        <w:rPr>
          <w:rFonts w:hint="eastAsia"/>
        </w:rPr>
        <w:t>日</w:t>
      </w:r>
    </w:p>
    <w:p w:rsidR="00FB7B1A" w:rsidRDefault="00FB7B1A"/>
    <w:sdt>
      <w:sdtPr>
        <w:rPr>
          <w:rFonts w:ascii="Times New Roman" w:eastAsia="宋体" w:hAnsi="Times New Roman" w:cs="Times New Roman"/>
          <w:color w:val="auto"/>
          <w:kern w:val="2"/>
          <w:sz w:val="21"/>
          <w:szCs w:val="24"/>
          <w:lang w:val="zh-CN"/>
        </w:rPr>
        <w:id w:val="-1645893125"/>
        <w:docPartObj>
          <w:docPartGallery w:val="Table of Contents"/>
          <w:docPartUnique/>
        </w:docPartObj>
      </w:sdtPr>
      <w:sdtEndPr>
        <w:rPr>
          <w:b/>
          <w:bCs/>
        </w:rPr>
      </w:sdtEndPr>
      <w:sdtContent>
        <w:p w:rsidR="00BA6E2C" w:rsidRPr="00BA6E2C" w:rsidRDefault="004D0DDF" w:rsidP="00BA6E2C">
          <w:pPr>
            <w:pStyle w:val="TOC"/>
            <w:rPr>
              <w:noProof/>
            </w:rPr>
          </w:pPr>
          <w:r>
            <w:fldChar w:fldCharType="begin"/>
          </w:r>
          <w:r w:rsidR="00BA6E2C">
            <w:instrText xml:space="preserve"> TOC \o "1-3" \h \z \u </w:instrText>
          </w:r>
          <w:r>
            <w:fldChar w:fldCharType="separate"/>
          </w:r>
        </w:p>
        <w:p w:rsidR="00BA6E2C" w:rsidRDefault="0012475C">
          <w:pPr>
            <w:pStyle w:val="10"/>
            <w:rPr>
              <w:rFonts w:asciiTheme="minorHAnsi" w:eastAsiaTheme="minorEastAsia" w:hAnsiTheme="minorHAnsi" w:cstheme="minorBidi"/>
              <w:noProof/>
              <w:sz w:val="21"/>
              <w:szCs w:val="22"/>
            </w:rPr>
          </w:pPr>
          <w:hyperlink w:anchor="_Toc115080895" w:history="1">
            <w:r w:rsidR="00BA6E2C" w:rsidRPr="0000149F">
              <w:rPr>
                <w:rStyle w:val="a8"/>
                <w:rFonts w:ascii="黑体" w:eastAsia="黑体" w:hAnsi="黑体"/>
                <w:noProof/>
              </w:rPr>
              <w:t>第一部分 单位概况</w:t>
            </w:r>
            <w:r w:rsidR="00BA6E2C">
              <w:rPr>
                <w:noProof/>
                <w:webHidden/>
              </w:rPr>
              <w:tab/>
            </w:r>
            <w:r w:rsidR="004D0DDF">
              <w:rPr>
                <w:noProof/>
                <w:webHidden/>
              </w:rPr>
              <w:fldChar w:fldCharType="begin"/>
            </w:r>
            <w:r w:rsidR="00BA6E2C">
              <w:rPr>
                <w:noProof/>
                <w:webHidden/>
              </w:rPr>
              <w:instrText xml:space="preserve"> PAGEREF _Toc115080895 \h </w:instrText>
            </w:r>
            <w:r w:rsidR="004D0DDF">
              <w:rPr>
                <w:noProof/>
                <w:webHidden/>
              </w:rPr>
            </w:r>
            <w:r w:rsidR="004D0DDF">
              <w:rPr>
                <w:noProof/>
                <w:webHidden/>
              </w:rPr>
              <w:fldChar w:fldCharType="separate"/>
            </w:r>
            <w:r w:rsidR="003241BB">
              <w:rPr>
                <w:noProof/>
                <w:webHidden/>
              </w:rPr>
              <w:t>4</w:t>
            </w:r>
            <w:r w:rsidR="004D0DDF">
              <w:rPr>
                <w:noProof/>
                <w:webHidden/>
              </w:rPr>
              <w:fldChar w:fldCharType="end"/>
            </w:r>
          </w:hyperlink>
        </w:p>
        <w:p w:rsidR="00BA6E2C" w:rsidRDefault="0012475C" w:rsidP="00BA6E2C">
          <w:pPr>
            <w:pStyle w:val="20"/>
            <w:rPr>
              <w:rFonts w:asciiTheme="minorHAnsi" w:eastAsiaTheme="minorEastAsia" w:hAnsiTheme="minorHAnsi" w:cstheme="minorBidi"/>
              <w:noProof/>
              <w:szCs w:val="22"/>
            </w:rPr>
          </w:pPr>
          <w:hyperlink w:anchor="_Toc115080896" w:history="1">
            <w:r w:rsidR="00BA6E2C">
              <w:rPr>
                <w:rStyle w:val="a8"/>
                <w:rFonts w:ascii="黑体" w:eastAsia="黑体" w:hAnsi="黑体"/>
                <w:noProof/>
              </w:rPr>
              <w:t>一</w:t>
            </w:r>
            <w:r w:rsidR="00BA6E2C">
              <w:rPr>
                <w:rStyle w:val="a8"/>
                <w:rFonts w:ascii="黑体" w:eastAsia="黑体" w:hAnsi="黑体" w:hint="eastAsia"/>
                <w:noProof/>
              </w:rPr>
              <w:t>、</w:t>
            </w:r>
            <w:r w:rsidR="00BA6E2C" w:rsidRPr="0000149F">
              <w:rPr>
                <w:rStyle w:val="a8"/>
                <w:rFonts w:ascii="黑体" w:eastAsia="黑体" w:hAnsi="黑体"/>
                <w:noProof/>
              </w:rPr>
              <w:t>职能简介</w:t>
            </w:r>
            <w:r w:rsidR="00BA6E2C">
              <w:rPr>
                <w:noProof/>
                <w:webHidden/>
              </w:rPr>
              <w:tab/>
            </w:r>
            <w:r w:rsidR="004D0DDF">
              <w:rPr>
                <w:noProof/>
                <w:webHidden/>
              </w:rPr>
              <w:fldChar w:fldCharType="begin"/>
            </w:r>
            <w:r w:rsidR="00BA6E2C">
              <w:rPr>
                <w:noProof/>
                <w:webHidden/>
              </w:rPr>
              <w:instrText xml:space="preserve"> PAGEREF _Toc115080896 \h </w:instrText>
            </w:r>
            <w:r w:rsidR="004D0DDF">
              <w:rPr>
                <w:noProof/>
                <w:webHidden/>
              </w:rPr>
            </w:r>
            <w:r w:rsidR="004D0DDF">
              <w:rPr>
                <w:noProof/>
                <w:webHidden/>
              </w:rPr>
              <w:fldChar w:fldCharType="separate"/>
            </w:r>
            <w:r w:rsidR="003241BB">
              <w:rPr>
                <w:noProof/>
                <w:webHidden/>
              </w:rPr>
              <w:t>4</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897" w:history="1">
            <w:r w:rsidR="00BA6E2C" w:rsidRPr="0000149F">
              <w:rPr>
                <w:rStyle w:val="a8"/>
                <w:rFonts w:ascii="黑体" w:eastAsia="黑体" w:hAnsi="黑体"/>
                <w:noProof/>
              </w:rPr>
              <w:t>二、2021年重点工作完成情况</w:t>
            </w:r>
            <w:r w:rsidR="00BA6E2C">
              <w:rPr>
                <w:noProof/>
                <w:webHidden/>
              </w:rPr>
              <w:tab/>
            </w:r>
            <w:r w:rsidR="004D0DDF">
              <w:rPr>
                <w:noProof/>
                <w:webHidden/>
              </w:rPr>
              <w:fldChar w:fldCharType="begin"/>
            </w:r>
            <w:r w:rsidR="00BA6E2C">
              <w:rPr>
                <w:noProof/>
                <w:webHidden/>
              </w:rPr>
              <w:instrText xml:space="preserve"> PAGEREF _Toc115080897 \h </w:instrText>
            </w:r>
            <w:r w:rsidR="004D0DDF">
              <w:rPr>
                <w:noProof/>
                <w:webHidden/>
              </w:rPr>
            </w:r>
            <w:r w:rsidR="004D0DDF">
              <w:rPr>
                <w:noProof/>
                <w:webHidden/>
              </w:rPr>
              <w:fldChar w:fldCharType="separate"/>
            </w:r>
            <w:r w:rsidR="003241BB">
              <w:rPr>
                <w:noProof/>
                <w:webHidden/>
              </w:rPr>
              <w:t>4</w:t>
            </w:r>
            <w:r w:rsidR="004D0DDF">
              <w:rPr>
                <w:noProof/>
                <w:webHidden/>
              </w:rPr>
              <w:fldChar w:fldCharType="end"/>
            </w:r>
          </w:hyperlink>
        </w:p>
        <w:p w:rsidR="00BA6E2C" w:rsidRDefault="0012475C">
          <w:pPr>
            <w:pStyle w:val="10"/>
            <w:rPr>
              <w:rFonts w:asciiTheme="minorHAnsi" w:eastAsiaTheme="minorEastAsia" w:hAnsiTheme="minorHAnsi" w:cstheme="minorBidi"/>
              <w:noProof/>
              <w:sz w:val="21"/>
              <w:szCs w:val="22"/>
            </w:rPr>
          </w:pPr>
          <w:hyperlink w:anchor="_Toc115080898" w:history="1">
            <w:r w:rsidR="00BA6E2C" w:rsidRPr="0000149F">
              <w:rPr>
                <w:rStyle w:val="a8"/>
                <w:rFonts w:ascii="黑体" w:eastAsia="黑体" w:hAnsi="黑体"/>
                <w:noProof/>
              </w:rPr>
              <w:t>第二部分 2021年度单位决算情况说明</w:t>
            </w:r>
            <w:r w:rsidR="00BA6E2C">
              <w:rPr>
                <w:noProof/>
                <w:webHidden/>
              </w:rPr>
              <w:tab/>
            </w:r>
            <w:r w:rsidR="004D0DDF">
              <w:rPr>
                <w:noProof/>
                <w:webHidden/>
              </w:rPr>
              <w:fldChar w:fldCharType="begin"/>
            </w:r>
            <w:r w:rsidR="00BA6E2C">
              <w:rPr>
                <w:noProof/>
                <w:webHidden/>
              </w:rPr>
              <w:instrText xml:space="preserve"> PAGEREF _Toc115080898 \h </w:instrText>
            </w:r>
            <w:r w:rsidR="004D0DDF">
              <w:rPr>
                <w:noProof/>
                <w:webHidden/>
              </w:rPr>
            </w:r>
            <w:r w:rsidR="004D0DDF">
              <w:rPr>
                <w:noProof/>
                <w:webHidden/>
              </w:rPr>
              <w:fldChar w:fldCharType="separate"/>
            </w:r>
            <w:r w:rsidR="003241BB">
              <w:rPr>
                <w:noProof/>
                <w:webHidden/>
              </w:rPr>
              <w:t>16</w:t>
            </w:r>
            <w:r w:rsidR="004D0DDF">
              <w:rPr>
                <w:noProof/>
                <w:webHidden/>
              </w:rPr>
              <w:fldChar w:fldCharType="end"/>
            </w:r>
          </w:hyperlink>
        </w:p>
        <w:p w:rsidR="00BA6E2C" w:rsidRDefault="0012475C" w:rsidP="00BA6E2C">
          <w:pPr>
            <w:pStyle w:val="20"/>
            <w:rPr>
              <w:rFonts w:asciiTheme="minorHAnsi" w:eastAsiaTheme="minorEastAsia" w:hAnsiTheme="minorHAnsi" w:cstheme="minorBidi"/>
              <w:noProof/>
              <w:szCs w:val="22"/>
            </w:rPr>
          </w:pPr>
          <w:hyperlink w:anchor="_Toc115080899" w:history="1">
            <w:r w:rsidR="00BA6E2C" w:rsidRPr="0000149F">
              <w:rPr>
                <w:rStyle w:val="a8"/>
                <w:rFonts w:ascii="黑体" w:eastAsia="黑体" w:hAnsi="黑体" w:cstheme="majorBidi"/>
                <w:bCs/>
                <w:noProof/>
              </w:rPr>
              <w:t>一、</w:t>
            </w:r>
            <w:r w:rsidR="00BA6E2C" w:rsidRPr="0000149F">
              <w:rPr>
                <w:rStyle w:val="a8"/>
                <w:rFonts w:ascii="黑体" w:eastAsia="黑体" w:hAnsi="黑体"/>
                <w:noProof/>
              </w:rPr>
              <w:t>收</w:t>
            </w:r>
            <w:r w:rsidR="00BA6E2C" w:rsidRPr="0000149F">
              <w:rPr>
                <w:rStyle w:val="a8"/>
                <w:rFonts w:ascii="黑体" w:eastAsia="黑体" w:hAnsi="黑体" w:cstheme="majorBidi"/>
                <w:bCs/>
                <w:noProof/>
              </w:rPr>
              <w:t>入支出决算总体情况说明</w:t>
            </w:r>
            <w:r w:rsidR="00BA6E2C">
              <w:rPr>
                <w:noProof/>
                <w:webHidden/>
              </w:rPr>
              <w:tab/>
            </w:r>
            <w:r w:rsidR="004D0DDF">
              <w:rPr>
                <w:noProof/>
                <w:webHidden/>
              </w:rPr>
              <w:fldChar w:fldCharType="begin"/>
            </w:r>
            <w:r w:rsidR="00BA6E2C">
              <w:rPr>
                <w:noProof/>
                <w:webHidden/>
              </w:rPr>
              <w:instrText xml:space="preserve"> PAGEREF _Toc115080899 \h </w:instrText>
            </w:r>
            <w:r w:rsidR="004D0DDF">
              <w:rPr>
                <w:noProof/>
                <w:webHidden/>
              </w:rPr>
            </w:r>
            <w:r w:rsidR="004D0DDF">
              <w:rPr>
                <w:noProof/>
                <w:webHidden/>
              </w:rPr>
              <w:fldChar w:fldCharType="separate"/>
            </w:r>
            <w:r w:rsidR="003241BB">
              <w:rPr>
                <w:noProof/>
                <w:webHidden/>
              </w:rPr>
              <w:t>16</w:t>
            </w:r>
            <w:r w:rsidR="004D0DDF">
              <w:rPr>
                <w:noProof/>
                <w:webHidden/>
              </w:rPr>
              <w:fldChar w:fldCharType="end"/>
            </w:r>
          </w:hyperlink>
        </w:p>
        <w:p w:rsidR="00BA6E2C" w:rsidRDefault="0012475C" w:rsidP="00BA6E2C">
          <w:pPr>
            <w:pStyle w:val="20"/>
            <w:rPr>
              <w:rFonts w:asciiTheme="minorHAnsi" w:eastAsiaTheme="minorEastAsia" w:hAnsiTheme="minorHAnsi" w:cstheme="minorBidi"/>
              <w:noProof/>
              <w:szCs w:val="22"/>
            </w:rPr>
          </w:pPr>
          <w:hyperlink w:anchor="_Toc115080900" w:history="1">
            <w:r w:rsidR="00BA6E2C" w:rsidRPr="0000149F">
              <w:rPr>
                <w:rStyle w:val="a8"/>
                <w:rFonts w:ascii="黑体" w:eastAsia="黑体" w:hAnsi="黑体" w:cstheme="majorBidi"/>
                <w:bCs/>
                <w:noProof/>
              </w:rPr>
              <w:t>二、</w:t>
            </w:r>
            <w:r w:rsidR="00BA6E2C" w:rsidRPr="0000149F">
              <w:rPr>
                <w:rStyle w:val="a8"/>
                <w:rFonts w:ascii="黑体" w:eastAsia="黑体" w:hAnsi="黑体"/>
                <w:noProof/>
              </w:rPr>
              <w:t>收</w:t>
            </w:r>
            <w:r w:rsidR="00BA6E2C" w:rsidRPr="0000149F">
              <w:rPr>
                <w:rStyle w:val="a8"/>
                <w:rFonts w:ascii="黑体" w:eastAsia="黑体" w:hAnsi="黑体" w:cstheme="majorBidi"/>
                <w:bCs/>
                <w:noProof/>
              </w:rPr>
              <w:t>入决算情况说明</w:t>
            </w:r>
            <w:r w:rsidR="00BA6E2C">
              <w:rPr>
                <w:noProof/>
                <w:webHidden/>
              </w:rPr>
              <w:tab/>
            </w:r>
            <w:r w:rsidR="004D0DDF">
              <w:rPr>
                <w:noProof/>
                <w:webHidden/>
              </w:rPr>
              <w:fldChar w:fldCharType="begin"/>
            </w:r>
            <w:r w:rsidR="00BA6E2C">
              <w:rPr>
                <w:noProof/>
                <w:webHidden/>
              </w:rPr>
              <w:instrText xml:space="preserve"> PAGEREF _Toc115080900 \h </w:instrText>
            </w:r>
            <w:r w:rsidR="004D0DDF">
              <w:rPr>
                <w:noProof/>
                <w:webHidden/>
              </w:rPr>
            </w:r>
            <w:r w:rsidR="004D0DDF">
              <w:rPr>
                <w:noProof/>
                <w:webHidden/>
              </w:rPr>
              <w:fldChar w:fldCharType="separate"/>
            </w:r>
            <w:r w:rsidR="003241BB">
              <w:rPr>
                <w:noProof/>
                <w:webHidden/>
              </w:rPr>
              <w:t>16</w:t>
            </w:r>
            <w:r w:rsidR="004D0DDF">
              <w:rPr>
                <w:noProof/>
                <w:webHidden/>
              </w:rPr>
              <w:fldChar w:fldCharType="end"/>
            </w:r>
          </w:hyperlink>
        </w:p>
        <w:p w:rsidR="00BA6E2C" w:rsidRDefault="0012475C" w:rsidP="00BA6E2C">
          <w:pPr>
            <w:pStyle w:val="20"/>
            <w:rPr>
              <w:rFonts w:asciiTheme="minorHAnsi" w:eastAsiaTheme="minorEastAsia" w:hAnsiTheme="minorHAnsi" w:cstheme="minorBidi"/>
              <w:noProof/>
              <w:szCs w:val="22"/>
            </w:rPr>
          </w:pPr>
          <w:hyperlink w:anchor="_Toc115080902" w:history="1">
            <w:r w:rsidR="00BA6E2C" w:rsidRPr="0000149F">
              <w:rPr>
                <w:rStyle w:val="a8"/>
                <w:rFonts w:ascii="黑体" w:eastAsia="黑体" w:hAnsi="黑体" w:cstheme="majorBidi"/>
                <w:bCs/>
                <w:noProof/>
              </w:rPr>
              <w:t>三、</w:t>
            </w:r>
            <w:r w:rsidR="00BA6E2C" w:rsidRPr="0000149F">
              <w:rPr>
                <w:rStyle w:val="a8"/>
                <w:rFonts w:ascii="黑体" w:eastAsia="黑体" w:hAnsi="黑体"/>
                <w:noProof/>
              </w:rPr>
              <w:t>支</w:t>
            </w:r>
            <w:r w:rsidR="00BA6E2C" w:rsidRPr="0000149F">
              <w:rPr>
                <w:rStyle w:val="a8"/>
                <w:rFonts w:ascii="黑体" w:eastAsia="黑体" w:hAnsi="黑体" w:cstheme="majorBidi"/>
                <w:bCs/>
                <w:noProof/>
              </w:rPr>
              <w:t>出决算情况说明</w:t>
            </w:r>
            <w:r w:rsidR="00BA6E2C">
              <w:rPr>
                <w:noProof/>
                <w:webHidden/>
              </w:rPr>
              <w:tab/>
            </w:r>
            <w:r w:rsidR="004D0DDF">
              <w:rPr>
                <w:noProof/>
                <w:webHidden/>
              </w:rPr>
              <w:fldChar w:fldCharType="begin"/>
            </w:r>
            <w:r w:rsidR="00BA6E2C">
              <w:rPr>
                <w:noProof/>
                <w:webHidden/>
              </w:rPr>
              <w:instrText xml:space="preserve"> PAGEREF _Toc115080902 \h </w:instrText>
            </w:r>
            <w:r w:rsidR="004D0DDF">
              <w:rPr>
                <w:noProof/>
                <w:webHidden/>
              </w:rPr>
            </w:r>
            <w:r w:rsidR="004D0DDF">
              <w:rPr>
                <w:noProof/>
                <w:webHidden/>
              </w:rPr>
              <w:fldChar w:fldCharType="separate"/>
            </w:r>
            <w:r w:rsidR="003241BB">
              <w:rPr>
                <w:noProof/>
                <w:webHidden/>
              </w:rPr>
              <w:t>17</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04" w:history="1">
            <w:r w:rsidR="00BA6E2C" w:rsidRPr="0000149F">
              <w:rPr>
                <w:rStyle w:val="a8"/>
                <w:rFonts w:ascii="黑体" w:eastAsia="黑体" w:hAnsi="黑体"/>
                <w:noProof/>
              </w:rPr>
              <w:t>四、财</w:t>
            </w:r>
            <w:r w:rsidR="00BA6E2C" w:rsidRPr="0000149F">
              <w:rPr>
                <w:rStyle w:val="a8"/>
                <w:rFonts w:ascii="黑体" w:eastAsia="黑体" w:hAnsi="黑体" w:cstheme="majorBidi"/>
                <w:bCs/>
                <w:noProof/>
              </w:rPr>
              <w:t>政拨款收入支出决算总体情况说明</w:t>
            </w:r>
            <w:r w:rsidR="00BA6E2C">
              <w:rPr>
                <w:noProof/>
                <w:webHidden/>
              </w:rPr>
              <w:tab/>
            </w:r>
            <w:r w:rsidR="004D0DDF">
              <w:rPr>
                <w:noProof/>
                <w:webHidden/>
              </w:rPr>
              <w:fldChar w:fldCharType="begin"/>
            </w:r>
            <w:r w:rsidR="00BA6E2C">
              <w:rPr>
                <w:noProof/>
                <w:webHidden/>
              </w:rPr>
              <w:instrText xml:space="preserve"> PAGEREF _Toc115080904 \h </w:instrText>
            </w:r>
            <w:r w:rsidR="004D0DDF">
              <w:rPr>
                <w:noProof/>
                <w:webHidden/>
              </w:rPr>
            </w:r>
            <w:r w:rsidR="004D0DDF">
              <w:rPr>
                <w:noProof/>
                <w:webHidden/>
              </w:rPr>
              <w:fldChar w:fldCharType="separate"/>
            </w:r>
            <w:r w:rsidR="003241BB">
              <w:rPr>
                <w:noProof/>
                <w:webHidden/>
              </w:rPr>
              <w:t>17</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05" w:history="1">
            <w:r w:rsidR="00BA6E2C" w:rsidRPr="0000149F">
              <w:rPr>
                <w:rStyle w:val="a8"/>
                <w:rFonts w:ascii="黑体" w:eastAsia="黑体" w:hAnsi="黑体"/>
                <w:noProof/>
              </w:rPr>
              <w:t>五、</w:t>
            </w:r>
            <w:r w:rsidR="00BA6E2C" w:rsidRPr="0000149F">
              <w:rPr>
                <w:rStyle w:val="a8"/>
                <w:rFonts w:ascii="黑体" w:eastAsia="黑体" w:hAnsi="黑体"/>
                <w:b/>
                <w:noProof/>
              </w:rPr>
              <w:t>一</w:t>
            </w:r>
            <w:r w:rsidR="00BA6E2C" w:rsidRPr="0000149F">
              <w:rPr>
                <w:rStyle w:val="a8"/>
                <w:rFonts w:ascii="黑体" w:eastAsia="黑体" w:hAnsi="黑体" w:cstheme="majorBidi"/>
                <w:bCs/>
                <w:noProof/>
              </w:rPr>
              <w:t>般公共预算财政拨款支出决算情况说明</w:t>
            </w:r>
            <w:r w:rsidR="00BA6E2C">
              <w:rPr>
                <w:noProof/>
                <w:webHidden/>
              </w:rPr>
              <w:tab/>
            </w:r>
            <w:r w:rsidR="004D0DDF">
              <w:rPr>
                <w:noProof/>
                <w:webHidden/>
              </w:rPr>
              <w:fldChar w:fldCharType="begin"/>
            </w:r>
            <w:r w:rsidR="00BA6E2C">
              <w:rPr>
                <w:noProof/>
                <w:webHidden/>
              </w:rPr>
              <w:instrText xml:space="preserve"> PAGEREF _Toc115080905 \h </w:instrText>
            </w:r>
            <w:r w:rsidR="004D0DDF">
              <w:rPr>
                <w:noProof/>
                <w:webHidden/>
              </w:rPr>
            </w:r>
            <w:r w:rsidR="004D0DDF">
              <w:rPr>
                <w:noProof/>
                <w:webHidden/>
              </w:rPr>
              <w:fldChar w:fldCharType="separate"/>
            </w:r>
            <w:r w:rsidR="003241BB">
              <w:rPr>
                <w:noProof/>
                <w:webHidden/>
              </w:rPr>
              <w:t>17</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10" w:history="1">
            <w:r w:rsidR="00BA6E2C" w:rsidRPr="0000149F">
              <w:rPr>
                <w:rStyle w:val="a8"/>
                <w:rFonts w:ascii="黑体" w:eastAsia="黑体"/>
                <w:noProof/>
              </w:rPr>
              <w:t>六</w:t>
            </w:r>
            <w:r w:rsidR="00BA6E2C" w:rsidRPr="0000149F">
              <w:rPr>
                <w:rStyle w:val="a8"/>
                <w:rFonts w:ascii="黑体" w:eastAsia="黑体"/>
                <w:b/>
                <w:noProof/>
              </w:rPr>
              <w:t>、</w:t>
            </w:r>
            <w:r w:rsidR="00BA6E2C" w:rsidRPr="0000149F">
              <w:rPr>
                <w:rStyle w:val="a8"/>
                <w:rFonts w:ascii="黑体" w:eastAsia="黑体" w:hAnsi="黑体"/>
                <w:b/>
                <w:noProof/>
              </w:rPr>
              <w:t>一</w:t>
            </w:r>
            <w:r w:rsidR="00BA6E2C" w:rsidRPr="0000149F">
              <w:rPr>
                <w:rStyle w:val="a8"/>
                <w:rFonts w:ascii="黑体" w:eastAsia="黑体" w:hAnsi="黑体" w:cstheme="majorBidi"/>
                <w:bCs/>
                <w:noProof/>
              </w:rPr>
              <w:t>般公共预算财政拨款基本支出决算情况说明</w:t>
            </w:r>
            <w:r w:rsidR="00BA6E2C">
              <w:rPr>
                <w:noProof/>
                <w:webHidden/>
              </w:rPr>
              <w:tab/>
            </w:r>
            <w:r w:rsidR="004D0DDF">
              <w:rPr>
                <w:noProof/>
                <w:webHidden/>
              </w:rPr>
              <w:fldChar w:fldCharType="begin"/>
            </w:r>
            <w:r w:rsidR="00BA6E2C">
              <w:rPr>
                <w:noProof/>
                <w:webHidden/>
              </w:rPr>
              <w:instrText xml:space="preserve"> PAGEREF _Toc115080910 \h </w:instrText>
            </w:r>
            <w:r w:rsidR="004D0DDF">
              <w:rPr>
                <w:noProof/>
                <w:webHidden/>
              </w:rPr>
            </w:r>
            <w:r w:rsidR="004D0DDF">
              <w:rPr>
                <w:noProof/>
                <w:webHidden/>
              </w:rPr>
              <w:fldChar w:fldCharType="separate"/>
            </w:r>
            <w:r w:rsidR="003241BB">
              <w:rPr>
                <w:noProof/>
                <w:webHidden/>
              </w:rPr>
              <w:t>20</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11" w:history="1">
            <w:r w:rsidR="00BA6E2C">
              <w:rPr>
                <w:rStyle w:val="a8"/>
                <w:rFonts w:ascii="黑体" w:eastAsia="黑体"/>
                <w:noProof/>
              </w:rPr>
              <w:t>七</w:t>
            </w:r>
            <w:r w:rsidR="00BA6E2C">
              <w:rPr>
                <w:rStyle w:val="a8"/>
                <w:rFonts w:ascii="黑体" w:eastAsia="黑体" w:hint="eastAsia"/>
                <w:noProof/>
              </w:rPr>
              <w:t>、</w:t>
            </w:r>
            <w:r w:rsidR="00BA6E2C" w:rsidRPr="0000149F">
              <w:rPr>
                <w:rStyle w:val="a8"/>
                <w:rFonts w:ascii="黑体" w:eastAsia="黑体" w:hAnsi="黑体" w:cstheme="majorBidi"/>
                <w:b/>
                <w:bCs/>
                <w:noProof/>
              </w:rPr>
              <w:t>“</w:t>
            </w:r>
            <w:r w:rsidR="00BA6E2C" w:rsidRPr="0000149F">
              <w:rPr>
                <w:rStyle w:val="a8"/>
                <w:rFonts w:ascii="黑体" w:eastAsia="黑体" w:hAnsi="黑体" w:cstheme="majorBidi"/>
                <w:bCs/>
                <w:noProof/>
              </w:rPr>
              <w:t>三公”经费财政拨款支出决算情况说明</w:t>
            </w:r>
            <w:r w:rsidR="00BA6E2C">
              <w:rPr>
                <w:noProof/>
                <w:webHidden/>
              </w:rPr>
              <w:tab/>
            </w:r>
            <w:r w:rsidR="004D0DDF">
              <w:rPr>
                <w:noProof/>
                <w:webHidden/>
              </w:rPr>
              <w:fldChar w:fldCharType="begin"/>
            </w:r>
            <w:r w:rsidR="00BA6E2C">
              <w:rPr>
                <w:noProof/>
                <w:webHidden/>
              </w:rPr>
              <w:instrText xml:space="preserve"> PAGEREF _Toc115080911 \h </w:instrText>
            </w:r>
            <w:r w:rsidR="004D0DDF">
              <w:rPr>
                <w:noProof/>
                <w:webHidden/>
              </w:rPr>
            </w:r>
            <w:r w:rsidR="004D0DDF">
              <w:rPr>
                <w:noProof/>
                <w:webHidden/>
              </w:rPr>
              <w:fldChar w:fldCharType="separate"/>
            </w:r>
            <w:r w:rsidR="003241BB">
              <w:rPr>
                <w:noProof/>
                <w:webHidden/>
              </w:rPr>
              <w:t>20</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14" w:history="1">
            <w:r w:rsidR="00BA6E2C" w:rsidRPr="0000149F">
              <w:rPr>
                <w:rStyle w:val="a8"/>
                <w:rFonts w:ascii="黑体" w:eastAsia="黑体"/>
                <w:noProof/>
              </w:rPr>
              <w:t>八、</w:t>
            </w:r>
            <w:r w:rsidR="00BA6E2C" w:rsidRPr="0000149F">
              <w:rPr>
                <w:rStyle w:val="a8"/>
                <w:rFonts w:ascii="黑体" w:eastAsia="黑体" w:hAnsi="黑体" w:cstheme="majorBidi"/>
                <w:bCs/>
                <w:noProof/>
              </w:rPr>
              <w:t>政府性基金预算支出决算情况说明</w:t>
            </w:r>
            <w:r w:rsidR="00BA6E2C">
              <w:rPr>
                <w:noProof/>
                <w:webHidden/>
              </w:rPr>
              <w:tab/>
            </w:r>
            <w:r w:rsidR="004D0DDF">
              <w:rPr>
                <w:noProof/>
                <w:webHidden/>
              </w:rPr>
              <w:fldChar w:fldCharType="begin"/>
            </w:r>
            <w:r w:rsidR="00BA6E2C">
              <w:rPr>
                <w:noProof/>
                <w:webHidden/>
              </w:rPr>
              <w:instrText xml:space="preserve"> PAGEREF _Toc115080914 \h </w:instrText>
            </w:r>
            <w:r w:rsidR="004D0DDF">
              <w:rPr>
                <w:noProof/>
                <w:webHidden/>
              </w:rPr>
            </w:r>
            <w:r w:rsidR="004D0DDF">
              <w:rPr>
                <w:noProof/>
                <w:webHidden/>
              </w:rPr>
              <w:fldChar w:fldCharType="separate"/>
            </w:r>
            <w:r w:rsidR="003241BB">
              <w:rPr>
                <w:noProof/>
                <w:webHidden/>
              </w:rPr>
              <w:t>22</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15" w:history="1">
            <w:r w:rsidR="00BA6E2C" w:rsidRPr="0000149F">
              <w:rPr>
                <w:rStyle w:val="a8"/>
                <w:rFonts w:ascii="黑体" w:eastAsia="黑体" w:hAnsi="黑体" w:cstheme="majorBidi"/>
                <w:bCs/>
                <w:noProof/>
              </w:rPr>
              <w:t>九、国有资本经营预算支出决算情况说明</w:t>
            </w:r>
            <w:r w:rsidR="00BA6E2C">
              <w:rPr>
                <w:noProof/>
                <w:webHidden/>
              </w:rPr>
              <w:tab/>
            </w:r>
            <w:r w:rsidR="004D0DDF">
              <w:rPr>
                <w:noProof/>
                <w:webHidden/>
              </w:rPr>
              <w:fldChar w:fldCharType="begin"/>
            </w:r>
            <w:r w:rsidR="00BA6E2C">
              <w:rPr>
                <w:noProof/>
                <w:webHidden/>
              </w:rPr>
              <w:instrText xml:space="preserve"> PAGEREF _Toc115080915 \h </w:instrText>
            </w:r>
            <w:r w:rsidR="004D0DDF">
              <w:rPr>
                <w:noProof/>
                <w:webHidden/>
              </w:rPr>
            </w:r>
            <w:r w:rsidR="004D0DDF">
              <w:rPr>
                <w:noProof/>
                <w:webHidden/>
              </w:rPr>
              <w:fldChar w:fldCharType="separate"/>
            </w:r>
            <w:r w:rsidR="003241BB">
              <w:rPr>
                <w:noProof/>
                <w:webHidden/>
              </w:rPr>
              <w:t>22</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16" w:history="1">
            <w:r w:rsidR="00BA6E2C" w:rsidRPr="0000149F">
              <w:rPr>
                <w:rStyle w:val="a8"/>
                <w:rFonts w:ascii="黑体" w:eastAsia="黑体" w:hAnsi="黑体" w:cstheme="majorBidi"/>
                <w:bCs/>
                <w:noProof/>
              </w:rPr>
              <w:t>十、其他重要事项的情况说明</w:t>
            </w:r>
            <w:r w:rsidR="00BA6E2C">
              <w:rPr>
                <w:noProof/>
                <w:webHidden/>
              </w:rPr>
              <w:tab/>
            </w:r>
            <w:r w:rsidR="004D0DDF">
              <w:rPr>
                <w:noProof/>
                <w:webHidden/>
              </w:rPr>
              <w:fldChar w:fldCharType="begin"/>
            </w:r>
            <w:r w:rsidR="00BA6E2C">
              <w:rPr>
                <w:noProof/>
                <w:webHidden/>
              </w:rPr>
              <w:instrText xml:space="preserve"> PAGEREF _Toc115080916 \h </w:instrText>
            </w:r>
            <w:r w:rsidR="004D0DDF">
              <w:rPr>
                <w:noProof/>
                <w:webHidden/>
              </w:rPr>
            </w:r>
            <w:r w:rsidR="004D0DDF">
              <w:rPr>
                <w:noProof/>
                <w:webHidden/>
              </w:rPr>
              <w:fldChar w:fldCharType="separate"/>
            </w:r>
            <w:r w:rsidR="003241BB">
              <w:rPr>
                <w:noProof/>
                <w:webHidden/>
              </w:rPr>
              <w:t>22</w:t>
            </w:r>
            <w:r w:rsidR="004D0DDF">
              <w:rPr>
                <w:noProof/>
                <w:webHidden/>
              </w:rPr>
              <w:fldChar w:fldCharType="end"/>
            </w:r>
          </w:hyperlink>
        </w:p>
        <w:p w:rsidR="00BA6E2C" w:rsidRDefault="0012475C">
          <w:pPr>
            <w:pStyle w:val="10"/>
            <w:rPr>
              <w:rFonts w:asciiTheme="minorHAnsi" w:eastAsiaTheme="minorEastAsia" w:hAnsiTheme="minorHAnsi" w:cstheme="minorBidi"/>
              <w:noProof/>
              <w:sz w:val="21"/>
              <w:szCs w:val="22"/>
            </w:rPr>
          </w:pPr>
          <w:hyperlink w:anchor="_Toc115080921" w:history="1">
            <w:r w:rsidR="00BA6E2C" w:rsidRPr="0000149F">
              <w:rPr>
                <w:rStyle w:val="a8"/>
                <w:rFonts w:ascii="黑体" w:eastAsia="黑体" w:hAnsi="黑体" w:cs="黑体"/>
                <w:bCs/>
                <w:noProof/>
                <w:kern w:val="44"/>
              </w:rPr>
              <w:t>第三部分</w:t>
            </w:r>
            <w:r w:rsidR="00BA6E2C" w:rsidRPr="0000149F">
              <w:rPr>
                <w:rStyle w:val="a8"/>
                <w:rFonts w:ascii="黑体" w:eastAsia="黑体" w:hAnsi="黑体"/>
                <w:noProof/>
              </w:rPr>
              <w:t xml:space="preserve"> 名</w:t>
            </w:r>
            <w:r w:rsidR="00BA6E2C" w:rsidRPr="0000149F">
              <w:rPr>
                <w:rStyle w:val="a8"/>
                <w:rFonts w:ascii="黑体" w:eastAsia="黑体" w:hAnsi="黑体"/>
                <w:bCs/>
                <w:noProof/>
                <w:kern w:val="44"/>
              </w:rPr>
              <w:t>词解释</w:t>
            </w:r>
            <w:r w:rsidR="00BA6E2C">
              <w:rPr>
                <w:noProof/>
                <w:webHidden/>
              </w:rPr>
              <w:tab/>
            </w:r>
            <w:r w:rsidR="004D0DDF">
              <w:rPr>
                <w:noProof/>
                <w:webHidden/>
              </w:rPr>
              <w:fldChar w:fldCharType="begin"/>
            </w:r>
            <w:r w:rsidR="00BA6E2C">
              <w:rPr>
                <w:noProof/>
                <w:webHidden/>
              </w:rPr>
              <w:instrText xml:space="preserve"> PAGEREF _Toc115080921 \h </w:instrText>
            </w:r>
            <w:r w:rsidR="004D0DDF">
              <w:rPr>
                <w:noProof/>
                <w:webHidden/>
              </w:rPr>
            </w:r>
            <w:r w:rsidR="004D0DDF">
              <w:rPr>
                <w:noProof/>
                <w:webHidden/>
              </w:rPr>
              <w:fldChar w:fldCharType="separate"/>
            </w:r>
            <w:r w:rsidR="003241BB">
              <w:rPr>
                <w:noProof/>
                <w:webHidden/>
              </w:rPr>
              <w:t>25</w:t>
            </w:r>
            <w:r w:rsidR="004D0DDF">
              <w:rPr>
                <w:noProof/>
                <w:webHidden/>
              </w:rPr>
              <w:fldChar w:fldCharType="end"/>
            </w:r>
          </w:hyperlink>
        </w:p>
        <w:p w:rsidR="00BA6E2C" w:rsidRDefault="0012475C">
          <w:pPr>
            <w:pStyle w:val="10"/>
            <w:rPr>
              <w:rFonts w:asciiTheme="minorHAnsi" w:eastAsiaTheme="minorEastAsia" w:hAnsiTheme="minorHAnsi" w:cstheme="minorBidi"/>
              <w:noProof/>
              <w:sz w:val="21"/>
              <w:szCs w:val="22"/>
            </w:rPr>
          </w:pPr>
          <w:hyperlink w:anchor="_Toc115080922" w:history="1">
            <w:r w:rsidR="00BA6E2C" w:rsidRPr="0000149F">
              <w:rPr>
                <w:rStyle w:val="a8"/>
                <w:rFonts w:ascii="黑体" w:eastAsia="黑体" w:hAnsi="黑体"/>
                <w:noProof/>
              </w:rPr>
              <w:t>第</w:t>
            </w:r>
            <w:r w:rsidR="00BA6E2C" w:rsidRPr="0000149F">
              <w:rPr>
                <w:rStyle w:val="a8"/>
                <w:rFonts w:ascii="黑体" w:eastAsia="黑体" w:hAnsi="黑体"/>
                <w:bCs/>
                <w:noProof/>
                <w:kern w:val="44"/>
              </w:rPr>
              <w:t>四部分 附件</w:t>
            </w:r>
            <w:r w:rsidR="00BA6E2C">
              <w:rPr>
                <w:noProof/>
                <w:webHidden/>
              </w:rPr>
              <w:tab/>
            </w:r>
            <w:r w:rsidR="004D0DDF">
              <w:rPr>
                <w:noProof/>
                <w:webHidden/>
              </w:rPr>
              <w:fldChar w:fldCharType="begin"/>
            </w:r>
            <w:r w:rsidR="00BA6E2C">
              <w:rPr>
                <w:noProof/>
                <w:webHidden/>
              </w:rPr>
              <w:instrText xml:space="preserve"> PAGEREF _Toc115080922 \h </w:instrText>
            </w:r>
            <w:r w:rsidR="004D0DDF">
              <w:rPr>
                <w:noProof/>
                <w:webHidden/>
              </w:rPr>
            </w:r>
            <w:r w:rsidR="004D0DDF">
              <w:rPr>
                <w:noProof/>
                <w:webHidden/>
              </w:rPr>
              <w:fldChar w:fldCharType="separate"/>
            </w:r>
            <w:r w:rsidR="003241BB">
              <w:rPr>
                <w:noProof/>
                <w:webHidden/>
              </w:rPr>
              <w:t>29</w:t>
            </w:r>
            <w:r w:rsidR="004D0DDF">
              <w:rPr>
                <w:noProof/>
                <w:webHidden/>
              </w:rPr>
              <w:fldChar w:fldCharType="end"/>
            </w:r>
          </w:hyperlink>
        </w:p>
        <w:p w:rsidR="00BA6E2C" w:rsidRDefault="0012475C">
          <w:pPr>
            <w:pStyle w:val="10"/>
            <w:rPr>
              <w:rFonts w:asciiTheme="minorHAnsi" w:eastAsiaTheme="minorEastAsia" w:hAnsiTheme="minorHAnsi" w:cstheme="minorBidi"/>
              <w:noProof/>
              <w:sz w:val="21"/>
              <w:szCs w:val="22"/>
            </w:rPr>
          </w:pPr>
          <w:hyperlink w:anchor="_Toc115080924" w:history="1">
            <w:r w:rsidR="00BA6E2C" w:rsidRPr="0000149F">
              <w:rPr>
                <w:rStyle w:val="a8"/>
                <w:rFonts w:ascii="黑体" w:eastAsia="黑体" w:hAnsi="黑体"/>
                <w:noProof/>
              </w:rPr>
              <w:t>第</w:t>
            </w:r>
            <w:r w:rsidR="00BA6E2C" w:rsidRPr="0000149F">
              <w:rPr>
                <w:rStyle w:val="a8"/>
                <w:rFonts w:ascii="黑体" w:eastAsia="黑体" w:hAnsi="黑体"/>
                <w:bCs/>
                <w:noProof/>
                <w:kern w:val="44"/>
              </w:rPr>
              <w:t>五部分 附表</w:t>
            </w:r>
            <w:r w:rsidR="00BA6E2C">
              <w:rPr>
                <w:noProof/>
                <w:webHidden/>
              </w:rPr>
              <w:tab/>
            </w:r>
            <w:r w:rsidR="004D0DDF">
              <w:rPr>
                <w:noProof/>
                <w:webHidden/>
              </w:rPr>
              <w:fldChar w:fldCharType="begin"/>
            </w:r>
            <w:r w:rsidR="00BA6E2C">
              <w:rPr>
                <w:noProof/>
                <w:webHidden/>
              </w:rPr>
              <w:instrText xml:space="preserve"> PAGEREF _Toc115080924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25" w:history="1">
            <w:r w:rsidR="00BA6E2C" w:rsidRPr="0000149F">
              <w:rPr>
                <w:rStyle w:val="a8"/>
                <w:rFonts w:ascii="仿宋" w:eastAsia="仿宋" w:hAnsi="仿宋"/>
                <w:noProof/>
              </w:rPr>
              <w:t>一、收入支出决算总表</w:t>
            </w:r>
            <w:r w:rsidR="00BA6E2C">
              <w:rPr>
                <w:noProof/>
                <w:webHidden/>
              </w:rPr>
              <w:tab/>
            </w:r>
            <w:r w:rsidR="004D0DDF">
              <w:rPr>
                <w:noProof/>
                <w:webHidden/>
              </w:rPr>
              <w:fldChar w:fldCharType="begin"/>
            </w:r>
            <w:r w:rsidR="00BA6E2C">
              <w:rPr>
                <w:noProof/>
                <w:webHidden/>
              </w:rPr>
              <w:instrText xml:space="preserve"> PAGEREF _Toc115080925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26" w:history="1">
            <w:r w:rsidR="00BA6E2C" w:rsidRPr="0000149F">
              <w:rPr>
                <w:rStyle w:val="a8"/>
                <w:rFonts w:ascii="仿宋" w:eastAsia="仿宋" w:hAnsi="仿宋"/>
                <w:noProof/>
              </w:rPr>
              <w:t>二、收入决算表</w:t>
            </w:r>
            <w:r w:rsidR="00BA6E2C">
              <w:rPr>
                <w:noProof/>
                <w:webHidden/>
              </w:rPr>
              <w:tab/>
            </w:r>
            <w:r w:rsidR="004D0DDF">
              <w:rPr>
                <w:noProof/>
                <w:webHidden/>
              </w:rPr>
              <w:fldChar w:fldCharType="begin"/>
            </w:r>
            <w:r w:rsidR="00BA6E2C">
              <w:rPr>
                <w:noProof/>
                <w:webHidden/>
              </w:rPr>
              <w:instrText xml:space="preserve"> PAGEREF _Toc115080926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27" w:history="1">
            <w:r w:rsidR="00BA6E2C" w:rsidRPr="0000149F">
              <w:rPr>
                <w:rStyle w:val="a8"/>
                <w:rFonts w:ascii="仿宋" w:eastAsia="仿宋" w:hAnsi="仿宋"/>
                <w:noProof/>
              </w:rPr>
              <w:t>三、支出决算表</w:t>
            </w:r>
            <w:r w:rsidR="00BA6E2C">
              <w:rPr>
                <w:noProof/>
                <w:webHidden/>
              </w:rPr>
              <w:tab/>
            </w:r>
            <w:r w:rsidR="004D0DDF">
              <w:rPr>
                <w:noProof/>
                <w:webHidden/>
              </w:rPr>
              <w:fldChar w:fldCharType="begin"/>
            </w:r>
            <w:r w:rsidR="00BA6E2C">
              <w:rPr>
                <w:noProof/>
                <w:webHidden/>
              </w:rPr>
              <w:instrText xml:space="preserve"> PAGEREF _Toc115080927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28" w:history="1">
            <w:r w:rsidR="00BA6E2C" w:rsidRPr="0000149F">
              <w:rPr>
                <w:rStyle w:val="a8"/>
                <w:rFonts w:ascii="仿宋" w:eastAsia="仿宋" w:hAnsi="仿宋"/>
                <w:noProof/>
              </w:rPr>
              <w:t>四、财政拨款收入支出决算总表</w:t>
            </w:r>
            <w:r w:rsidR="00BA6E2C">
              <w:rPr>
                <w:noProof/>
                <w:webHidden/>
              </w:rPr>
              <w:tab/>
            </w:r>
            <w:r w:rsidR="004D0DDF">
              <w:rPr>
                <w:noProof/>
                <w:webHidden/>
              </w:rPr>
              <w:fldChar w:fldCharType="begin"/>
            </w:r>
            <w:r w:rsidR="00BA6E2C">
              <w:rPr>
                <w:noProof/>
                <w:webHidden/>
              </w:rPr>
              <w:instrText xml:space="preserve"> PAGEREF _Toc115080928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29" w:history="1">
            <w:r w:rsidR="00BA6E2C" w:rsidRPr="0000149F">
              <w:rPr>
                <w:rStyle w:val="a8"/>
                <w:rFonts w:ascii="仿宋" w:eastAsia="仿宋" w:hAnsi="仿宋"/>
                <w:noProof/>
              </w:rPr>
              <w:t>五、财政拨款支出决算明细表</w:t>
            </w:r>
            <w:r w:rsidR="00BA6E2C">
              <w:rPr>
                <w:noProof/>
                <w:webHidden/>
              </w:rPr>
              <w:tab/>
            </w:r>
            <w:r w:rsidR="004D0DDF">
              <w:rPr>
                <w:noProof/>
                <w:webHidden/>
              </w:rPr>
              <w:fldChar w:fldCharType="begin"/>
            </w:r>
            <w:r w:rsidR="00BA6E2C">
              <w:rPr>
                <w:noProof/>
                <w:webHidden/>
              </w:rPr>
              <w:instrText xml:space="preserve"> PAGEREF _Toc115080929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0" w:history="1">
            <w:r w:rsidR="00BA6E2C" w:rsidRPr="0000149F">
              <w:rPr>
                <w:rStyle w:val="a8"/>
                <w:rFonts w:ascii="仿宋" w:eastAsia="仿宋" w:hAnsi="仿宋"/>
                <w:noProof/>
              </w:rPr>
              <w:t>六、一般公共预算财政拨款支出决算表</w:t>
            </w:r>
            <w:r w:rsidR="00BA6E2C">
              <w:rPr>
                <w:noProof/>
                <w:webHidden/>
              </w:rPr>
              <w:tab/>
            </w:r>
            <w:r w:rsidR="004D0DDF">
              <w:rPr>
                <w:noProof/>
                <w:webHidden/>
              </w:rPr>
              <w:fldChar w:fldCharType="begin"/>
            </w:r>
            <w:r w:rsidR="00BA6E2C">
              <w:rPr>
                <w:noProof/>
                <w:webHidden/>
              </w:rPr>
              <w:instrText xml:space="preserve"> PAGEREF _Toc115080930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1" w:history="1">
            <w:r w:rsidR="00BA6E2C" w:rsidRPr="0000149F">
              <w:rPr>
                <w:rStyle w:val="a8"/>
                <w:rFonts w:ascii="仿宋" w:eastAsia="仿宋" w:hAnsi="仿宋"/>
                <w:noProof/>
              </w:rPr>
              <w:t>七、一般公共预算财政拨款支出决算明细表</w:t>
            </w:r>
            <w:r w:rsidR="00BA6E2C">
              <w:rPr>
                <w:noProof/>
                <w:webHidden/>
              </w:rPr>
              <w:tab/>
            </w:r>
            <w:r w:rsidR="004D0DDF">
              <w:rPr>
                <w:noProof/>
                <w:webHidden/>
              </w:rPr>
              <w:fldChar w:fldCharType="begin"/>
            </w:r>
            <w:r w:rsidR="00BA6E2C">
              <w:rPr>
                <w:noProof/>
                <w:webHidden/>
              </w:rPr>
              <w:instrText xml:space="preserve"> PAGEREF _Toc115080931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2" w:history="1">
            <w:r w:rsidR="00BA6E2C" w:rsidRPr="0000149F">
              <w:rPr>
                <w:rStyle w:val="a8"/>
                <w:rFonts w:ascii="仿宋" w:eastAsia="仿宋" w:hAnsi="仿宋"/>
                <w:noProof/>
              </w:rPr>
              <w:t>八、一般公共预算财政拨款基本支出决算表</w:t>
            </w:r>
            <w:r w:rsidR="00BA6E2C">
              <w:rPr>
                <w:noProof/>
                <w:webHidden/>
              </w:rPr>
              <w:tab/>
            </w:r>
            <w:r w:rsidR="004D0DDF">
              <w:rPr>
                <w:noProof/>
                <w:webHidden/>
              </w:rPr>
              <w:fldChar w:fldCharType="begin"/>
            </w:r>
            <w:r w:rsidR="00BA6E2C">
              <w:rPr>
                <w:noProof/>
                <w:webHidden/>
              </w:rPr>
              <w:instrText xml:space="preserve"> PAGEREF _Toc115080932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3" w:history="1">
            <w:r w:rsidR="00BA6E2C" w:rsidRPr="0000149F">
              <w:rPr>
                <w:rStyle w:val="a8"/>
                <w:rFonts w:ascii="仿宋" w:eastAsia="仿宋" w:hAnsi="仿宋"/>
                <w:noProof/>
              </w:rPr>
              <w:t>九、一般公共预算财政拨款项目支出决算表</w:t>
            </w:r>
            <w:r w:rsidR="00BA6E2C">
              <w:rPr>
                <w:noProof/>
                <w:webHidden/>
              </w:rPr>
              <w:tab/>
            </w:r>
            <w:r w:rsidR="004D0DDF">
              <w:rPr>
                <w:noProof/>
                <w:webHidden/>
              </w:rPr>
              <w:fldChar w:fldCharType="begin"/>
            </w:r>
            <w:r w:rsidR="00BA6E2C">
              <w:rPr>
                <w:noProof/>
                <w:webHidden/>
              </w:rPr>
              <w:instrText xml:space="preserve"> PAGEREF _Toc115080933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4" w:history="1">
            <w:r w:rsidR="00BA6E2C" w:rsidRPr="0000149F">
              <w:rPr>
                <w:rStyle w:val="a8"/>
                <w:rFonts w:ascii="仿宋" w:eastAsia="仿宋" w:hAnsi="仿宋"/>
                <w:noProof/>
              </w:rPr>
              <w:t>十、一般公共预算财政拨款“三公”经费支出决算表</w:t>
            </w:r>
            <w:r w:rsidR="00BA6E2C">
              <w:rPr>
                <w:noProof/>
                <w:webHidden/>
              </w:rPr>
              <w:tab/>
            </w:r>
            <w:r w:rsidR="004D0DDF">
              <w:rPr>
                <w:noProof/>
                <w:webHidden/>
              </w:rPr>
              <w:fldChar w:fldCharType="begin"/>
            </w:r>
            <w:r w:rsidR="00BA6E2C">
              <w:rPr>
                <w:noProof/>
                <w:webHidden/>
              </w:rPr>
              <w:instrText xml:space="preserve"> PAGEREF _Toc115080934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5" w:history="1">
            <w:r w:rsidR="00BA6E2C" w:rsidRPr="0000149F">
              <w:rPr>
                <w:rStyle w:val="a8"/>
                <w:rFonts w:ascii="仿宋" w:eastAsia="仿宋" w:hAnsi="仿宋"/>
                <w:noProof/>
              </w:rPr>
              <w:t>十一、政府性基金预算财政拨款收入支出决算表</w:t>
            </w:r>
            <w:r w:rsidR="00BA6E2C">
              <w:rPr>
                <w:noProof/>
                <w:webHidden/>
              </w:rPr>
              <w:tab/>
            </w:r>
            <w:r w:rsidR="004D0DDF">
              <w:rPr>
                <w:noProof/>
                <w:webHidden/>
              </w:rPr>
              <w:fldChar w:fldCharType="begin"/>
            </w:r>
            <w:r w:rsidR="00BA6E2C">
              <w:rPr>
                <w:noProof/>
                <w:webHidden/>
              </w:rPr>
              <w:instrText xml:space="preserve"> PAGEREF _Toc115080935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6" w:history="1">
            <w:r w:rsidR="00BA6E2C" w:rsidRPr="0000149F">
              <w:rPr>
                <w:rStyle w:val="a8"/>
                <w:rFonts w:ascii="仿宋" w:eastAsia="仿宋" w:hAnsi="仿宋"/>
                <w:noProof/>
              </w:rPr>
              <w:t>十二、政府性基金预算财政拨款“三公”经费支出决算表</w:t>
            </w:r>
            <w:r w:rsidR="00BA6E2C">
              <w:rPr>
                <w:noProof/>
                <w:webHidden/>
              </w:rPr>
              <w:tab/>
            </w:r>
            <w:r w:rsidR="004D0DDF">
              <w:rPr>
                <w:noProof/>
                <w:webHidden/>
              </w:rPr>
              <w:fldChar w:fldCharType="begin"/>
            </w:r>
            <w:r w:rsidR="00BA6E2C">
              <w:rPr>
                <w:noProof/>
                <w:webHidden/>
              </w:rPr>
              <w:instrText xml:space="preserve"> PAGEREF _Toc115080936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7" w:history="1">
            <w:r w:rsidR="00BA6E2C" w:rsidRPr="0000149F">
              <w:rPr>
                <w:rStyle w:val="a8"/>
                <w:rFonts w:ascii="仿宋" w:eastAsia="仿宋" w:hAnsi="仿宋"/>
                <w:noProof/>
              </w:rPr>
              <w:t>十三、国有资本经营预算财政拨款收入支出决算表</w:t>
            </w:r>
            <w:r w:rsidR="00BA6E2C">
              <w:rPr>
                <w:noProof/>
                <w:webHidden/>
              </w:rPr>
              <w:tab/>
            </w:r>
            <w:r w:rsidR="004D0DDF">
              <w:rPr>
                <w:noProof/>
                <w:webHidden/>
              </w:rPr>
              <w:fldChar w:fldCharType="begin"/>
            </w:r>
            <w:r w:rsidR="00BA6E2C">
              <w:rPr>
                <w:noProof/>
                <w:webHidden/>
              </w:rPr>
              <w:instrText xml:space="preserve"> PAGEREF _Toc115080937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BA6E2C" w:rsidRDefault="0012475C">
          <w:pPr>
            <w:pStyle w:val="20"/>
            <w:rPr>
              <w:rFonts w:asciiTheme="minorHAnsi" w:eastAsiaTheme="minorEastAsia" w:hAnsiTheme="minorHAnsi" w:cstheme="minorBidi"/>
              <w:noProof/>
              <w:szCs w:val="22"/>
            </w:rPr>
          </w:pPr>
          <w:hyperlink w:anchor="_Toc115080938" w:history="1">
            <w:r w:rsidR="00BA6E2C" w:rsidRPr="0000149F">
              <w:rPr>
                <w:rStyle w:val="a8"/>
                <w:rFonts w:ascii="仿宋" w:eastAsia="仿宋" w:hAnsi="仿宋"/>
                <w:noProof/>
              </w:rPr>
              <w:t>十四、国有资本经营预算财政拨款支出决算表</w:t>
            </w:r>
            <w:r w:rsidR="00BA6E2C">
              <w:rPr>
                <w:noProof/>
                <w:webHidden/>
              </w:rPr>
              <w:tab/>
            </w:r>
            <w:r w:rsidR="004D0DDF">
              <w:rPr>
                <w:noProof/>
                <w:webHidden/>
              </w:rPr>
              <w:fldChar w:fldCharType="begin"/>
            </w:r>
            <w:r w:rsidR="00BA6E2C">
              <w:rPr>
                <w:noProof/>
                <w:webHidden/>
              </w:rPr>
              <w:instrText xml:space="preserve"> PAGEREF _Toc115080938 \h </w:instrText>
            </w:r>
            <w:r w:rsidR="004D0DDF">
              <w:rPr>
                <w:noProof/>
                <w:webHidden/>
              </w:rPr>
            </w:r>
            <w:r w:rsidR="004D0DDF">
              <w:rPr>
                <w:noProof/>
                <w:webHidden/>
              </w:rPr>
              <w:fldChar w:fldCharType="separate"/>
            </w:r>
            <w:r w:rsidR="003241BB">
              <w:rPr>
                <w:noProof/>
                <w:webHidden/>
              </w:rPr>
              <w:t>41</w:t>
            </w:r>
            <w:r w:rsidR="004D0DDF">
              <w:rPr>
                <w:noProof/>
                <w:webHidden/>
              </w:rPr>
              <w:fldChar w:fldCharType="end"/>
            </w:r>
          </w:hyperlink>
        </w:p>
        <w:p w:rsidR="00FB7B1A" w:rsidRPr="00BA6E2C" w:rsidRDefault="004D0DDF" w:rsidP="00BA6E2C">
          <w:r>
            <w:rPr>
              <w:b/>
              <w:bCs/>
              <w:lang w:val="zh-CN"/>
            </w:rPr>
            <w:fldChar w:fldCharType="end"/>
          </w:r>
        </w:p>
      </w:sdtContent>
    </w:sdt>
    <w:p w:rsidR="00FB7B1A" w:rsidRDefault="00A57848">
      <w:pPr>
        <w:widowControl/>
        <w:spacing w:line="440" w:lineRule="exact"/>
        <w:jc w:val="left"/>
        <w:rPr>
          <w:rFonts w:ascii="仿宋" w:eastAsia="仿宋" w:hAnsi="仿宋"/>
          <w:bCs/>
          <w:kern w:val="44"/>
          <w:sz w:val="24"/>
        </w:rPr>
      </w:pPr>
      <w:bookmarkStart w:id="8" w:name="_Toc15396599"/>
      <w:bookmarkStart w:id="9" w:name="_Toc15377196"/>
      <w:r>
        <w:rPr>
          <w:rFonts w:ascii="仿宋" w:eastAsia="仿宋" w:hAnsi="仿宋"/>
          <w:b/>
          <w:sz w:val="24"/>
        </w:rPr>
        <w:br w:type="page"/>
      </w:r>
    </w:p>
    <w:p w:rsidR="00FB7B1A" w:rsidRDefault="00A57848">
      <w:pPr>
        <w:pStyle w:val="1"/>
        <w:jc w:val="center"/>
        <w:rPr>
          <w:rStyle w:val="1Char"/>
          <w:rFonts w:ascii="黑体" w:eastAsia="黑体" w:hAnsi="黑体"/>
          <w:b/>
        </w:rPr>
      </w:pPr>
      <w:bookmarkStart w:id="10" w:name="_Toc115080895"/>
      <w:r>
        <w:rPr>
          <w:rFonts w:ascii="黑体" w:eastAsia="黑体" w:hAnsi="黑体" w:hint="eastAsia"/>
          <w:b w:val="0"/>
        </w:rPr>
        <w:lastRenderedPageBreak/>
        <w:t>第一部分 单位</w:t>
      </w:r>
      <w:r>
        <w:rPr>
          <w:rStyle w:val="1Char"/>
          <w:rFonts w:ascii="黑体" w:eastAsia="黑体" w:hAnsi="黑体" w:hint="eastAsia"/>
        </w:rPr>
        <w:t>概况</w:t>
      </w:r>
      <w:bookmarkEnd w:id="8"/>
      <w:bookmarkEnd w:id="9"/>
      <w:bookmarkEnd w:id="10"/>
    </w:p>
    <w:p w:rsidR="00FB7B1A" w:rsidRDefault="00FB7B1A">
      <w:pPr>
        <w:widowControl/>
        <w:jc w:val="left"/>
        <w:rPr>
          <w:rFonts w:ascii="黑体" w:eastAsia="黑体"/>
          <w:sz w:val="32"/>
          <w:szCs w:val="32"/>
        </w:rPr>
      </w:pPr>
    </w:p>
    <w:p w:rsidR="00FB7B1A" w:rsidRDefault="00A57848" w:rsidP="00D82F35">
      <w:pPr>
        <w:pStyle w:val="2"/>
        <w:numPr>
          <w:ilvl w:val="0"/>
          <w:numId w:val="4"/>
        </w:numPr>
        <w:rPr>
          <w:rStyle w:val="2Char"/>
          <w:rFonts w:ascii="黑体" w:eastAsia="黑体" w:hAnsi="黑体"/>
        </w:rPr>
      </w:pPr>
      <w:bookmarkStart w:id="11" w:name="_Toc115080896"/>
      <w:bookmarkStart w:id="12" w:name="_Toc15396600"/>
      <w:bookmarkStart w:id="13" w:name="_Toc15377197"/>
      <w:r>
        <w:rPr>
          <w:rStyle w:val="2Char"/>
          <w:rFonts w:ascii="黑体" w:eastAsia="黑体" w:hAnsi="黑体" w:hint="eastAsia"/>
        </w:rPr>
        <w:t>职能简介</w:t>
      </w:r>
      <w:bookmarkEnd w:id="11"/>
    </w:p>
    <w:p w:rsidR="00D82F35" w:rsidRPr="00D82F35" w:rsidRDefault="009950E1" w:rsidP="00D82F35">
      <w:pPr>
        <w:snapToGrid w:val="0"/>
        <w:spacing w:line="360" w:lineRule="auto"/>
        <w:ind w:firstLineChars="200" w:firstLine="640"/>
        <w:rPr>
          <w:rFonts w:ascii="仿宋" w:eastAsia="仿宋" w:hAnsi="仿宋"/>
          <w:bCs/>
          <w:color w:val="000000"/>
          <w:sz w:val="32"/>
          <w:szCs w:val="32"/>
        </w:rPr>
      </w:pPr>
      <w:r>
        <w:rPr>
          <w:rFonts w:ascii="仿宋" w:eastAsia="仿宋" w:hAnsi="仿宋" w:hint="eastAsia"/>
          <w:bCs/>
          <w:color w:val="000000"/>
          <w:kern w:val="0"/>
          <w:sz w:val="32"/>
          <w:szCs w:val="32"/>
        </w:rPr>
        <w:t>主要培养高中学历及中级技术应用人才，提高社会职业素质。培养经济类、计算机类、机电制造类、文秘旅游类、工艺美术建筑类等专业人才。</w:t>
      </w:r>
    </w:p>
    <w:p w:rsidR="00FB7B1A" w:rsidRDefault="00A57848">
      <w:pPr>
        <w:pStyle w:val="2"/>
        <w:rPr>
          <w:rFonts w:ascii="黑体" w:eastAsia="黑体" w:hAnsi="黑体"/>
          <w:b w:val="0"/>
        </w:rPr>
      </w:pPr>
      <w:bookmarkStart w:id="14" w:name="_Toc115080897"/>
      <w:r>
        <w:rPr>
          <w:rFonts w:ascii="黑体" w:eastAsia="黑体" w:hAnsi="黑体" w:hint="eastAsia"/>
          <w:b w:val="0"/>
        </w:rPr>
        <w:t>二、2021年重点工作</w:t>
      </w:r>
      <w:bookmarkEnd w:id="12"/>
      <w:bookmarkEnd w:id="13"/>
      <w:r>
        <w:rPr>
          <w:rFonts w:ascii="黑体" w:eastAsia="黑体" w:hAnsi="黑体" w:hint="eastAsia"/>
          <w:b w:val="0"/>
        </w:rPr>
        <w:t>完成情况</w:t>
      </w:r>
      <w:bookmarkEnd w:id="14"/>
    </w:p>
    <w:p w:rsidR="00D15656" w:rsidRDefault="00D15656" w:rsidP="00D15656">
      <w:pPr>
        <w:spacing w:line="57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岁</w:t>
      </w:r>
      <w:proofErr w:type="gramStart"/>
      <w:r>
        <w:rPr>
          <w:rFonts w:ascii="仿宋_GB2312" w:eastAsia="仿宋_GB2312" w:hAnsi="仿宋_GB2312" w:cs="仿宋_GB2312" w:hint="eastAsia"/>
          <w:sz w:val="32"/>
          <w:szCs w:val="32"/>
        </w:rPr>
        <w:t>聿</w:t>
      </w:r>
      <w:proofErr w:type="gramEnd"/>
      <w:r>
        <w:rPr>
          <w:rFonts w:ascii="仿宋_GB2312" w:eastAsia="仿宋_GB2312" w:hAnsi="仿宋_GB2312" w:cs="仿宋_GB2312" w:hint="eastAsia"/>
          <w:sz w:val="32"/>
          <w:szCs w:val="32"/>
        </w:rPr>
        <w:t>云</w:t>
      </w:r>
      <w:proofErr w:type="gramStart"/>
      <w:r>
        <w:rPr>
          <w:rFonts w:ascii="仿宋_GB2312" w:eastAsia="仿宋_GB2312" w:hAnsi="仿宋_GB2312" w:cs="仿宋_GB2312" w:hint="eastAsia"/>
          <w:sz w:val="32"/>
          <w:szCs w:val="32"/>
        </w:rPr>
        <w:t>暮</w:t>
      </w:r>
      <w:proofErr w:type="gramEnd"/>
      <w:r>
        <w:rPr>
          <w:rFonts w:ascii="仿宋_GB2312" w:eastAsia="仿宋_GB2312" w:hAnsi="仿宋_GB2312" w:cs="仿宋_GB2312" w:hint="eastAsia"/>
          <w:sz w:val="32"/>
          <w:szCs w:val="32"/>
        </w:rPr>
        <w:t>，日月其除。2021年，学校深入落实市委、市政府和</w:t>
      </w:r>
      <w:proofErr w:type="gramStart"/>
      <w:r>
        <w:rPr>
          <w:rFonts w:ascii="仿宋_GB2312" w:eastAsia="仿宋_GB2312" w:hAnsi="仿宋_GB2312" w:cs="仿宋_GB2312" w:hint="eastAsia"/>
          <w:sz w:val="32"/>
          <w:szCs w:val="32"/>
        </w:rPr>
        <w:t>市教体局</w:t>
      </w:r>
      <w:proofErr w:type="gramEnd"/>
      <w:r>
        <w:rPr>
          <w:rFonts w:ascii="仿宋_GB2312" w:eastAsia="仿宋_GB2312" w:hAnsi="仿宋_GB2312" w:cs="仿宋_GB2312" w:hint="eastAsia"/>
          <w:sz w:val="32"/>
          <w:szCs w:val="32"/>
        </w:rPr>
        <w:t>部署要求，</w:t>
      </w:r>
      <w:r>
        <w:rPr>
          <w:rFonts w:ascii="仿宋_GB2312" w:eastAsia="仿宋_GB2312" w:hAnsi="仿宋"/>
          <w:bCs/>
          <w:sz w:val="32"/>
          <w:szCs w:val="32"/>
        </w:rPr>
        <w:t>以习近平新时代中国特色社会主义思想为统揽，深入学习贯彻</w:t>
      </w:r>
      <w:r>
        <w:rPr>
          <w:rFonts w:ascii="仿宋_GB2312" w:eastAsia="仿宋_GB2312" w:hAnsi="仿宋_GB2312" w:cs="仿宋_GB2312" w:hint="eastAsia"/>
          <w:sz w:val="32"/>
          <w:szCs w:val="32"/>
        </w:rPr>
        <w:t>建党100周年习近平总书记重要讲话精神和中央十九届五中、六中全会、省委十一届十次全会、市第六次党代会精神</w:t>
      </w:r>
      <w:r>
        <w:rPr>
          <w:rFonts w:ascii="仿宋_GB2312" w:eastAsia="仿宋_GB2312" w:hAnsi="仿宋"/>
          <w:bCs/>
          <w:sz w:val="32"/>
          <w:szCs w:val="32"/>
        </w:rPr>
        <w:t>，坚持和加强党对学校工作的全面领导，</w:t>
      </w:r>
      <w:r>
        <w:rPr>
          <w:rFonts w:ascii="仿宋_GB2312" w:eastAsia="仿宋_GB2312" w:hAnsi="仿宋" w:hint="eastAsia"/>
          <w:bCs/>
          <w:sz w:val="32"/>
          <w:szCs w:val="32"/>
        </w:rPr>
        <w:t>激发广大师生干事创业热情，同时按照“职教二十条”和“提质培优”行动计划指明的方向，夯实办学基础，推进改革创新，各项工作有序开展，学校发展</w:t>
      </w:r>
      <w:r>
        <w:rPr>
          <w:rFonts w:ascii="仿宋_GB2312" w:eastAsia="仿宋_GB2312" w:hAnsi="仿宋" w:hint="eastAsia"/>
          <w:sz w:val="32"/>
          <w:szCs w:val="32"/>
        </w:rPr>
        <w:t>迈上了新台阶。</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一、以学习引领，突出党建核心</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在政治学习中把握前进方向。</w:t>
      </w:r>
      <w:r>
        <w:rPr>
          <w:rFonts w:ascii="仿宋_GB2312" w:eastAsia="仿宋_GB2312" w:hAnsi="仿宋_GB2312" w:cs="仿宋_GB2312" w:hint="eastAsia"/>
          <w:sz w:val="32"/>
          <w:szCs w:val="32"/>
        </w:rPr>
        <w:t>校党委把学习贯彻建党100周年习近平总书记重要讲话精神和中央十九届五中、六中全会、省委十一届十次全会、市第六次党代会精神作为一项重要的政治任务，自上而下开展了系列学习宣传贯彻活动，多途径、多渠道让党中央的声音响彻校园。通过市委讲师团</w:t>
      </w:r>
      <w:r>
        <w:rPr>
          <w:rFonts w:ascii="仿宋_GB2312" w:eastAsia="仿宋_GB2312" w:hAnsi="仿宋_GB2312" w:cs="仿宋_GB2312" w:hint="eastAsia"/>
          <w:sz w:val="32"/>
          <w:szCs w:val="32"/>
        </w:rPr>
        <w:lastRenderedPageBreak/>
        <w:t>专家来校宣讲、党委理论学习中心组学习、干部大会学习、党员大会学习、学生小分队宣传，举办十九届六中全会师生画展、演讲比赛，撰写心得体会等形式推动学习活动，深化学习成果，让学习教育在宜</w:t>
      </w:r>
      <w:proofErr w:type="gramStart"/>
      <w:r>
        <w:rPr>
          <w:rFonts w:ascii="仿宋_GB2312" w:eastAsia="仿宋_GB2312" w:hAnsi="仿宋_GB2312" w:cs="仿宋_GB2312" w:hint="eastAsia"/>
          <w:sz w:val="32"/>
          <w:szCs w:val="32"/>
        </w:rPr>
        <w:t>职校走深走</w:t>
      </w:r>
      <w:proofErr w:type="gramEnd"/>
      <w:r>
        <w:rPr>
          <w:rFonts w:ascii="仿宋_GB2312" w:eastAsia="仿宋_GB2312" w:hAnsi="仿宋_GB2312" w:cs="仿宋_GB2312" w:hint="eastAsia"/>
          <w:sz w:val="32"/>
          <w:szCs w:val="32"/>
        </w:rPr>
        <w:t>实进心，使广大师生衷心拥护“两个确立”，增强“四个意识”、坚定“四个自信”、做到“两个维护”。</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在党史学习教育中汲取奋进力量。</w:t>
      </w:r>
      <w:r>
        <w:rPr>
          <w:rFonts w:ascii="仿宋_GB2312" w:eastAsia="仿宋_GB2312" w:hAnsi="仿宋_GB2312" w:cs="仿宋_GB2312" w:hint="eastAsia"/>
          <w:sz w:val="32"/>
          <w:szCs w:val="32"/>
        </w:rPr>
        <w:t>在党员干部中开展“讲党史、论得失”活动，在党员教师中开展“学党史，提质量”行动，在学生中开展“党史我来讲，红色照我心”演讲比赛，把党史学习教育和学校“提质增效行动”相结合，提振了师生精神，增强了师生学习、工作动力，让全校师生“不忘来时奋斗路”，坚定了“学党史、感党恩、听党话、跟党走”的决心。</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二、以理念先导，紧跟时代步伐</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凝练校园文化，增强精神统领。</w:t>
      </w:r>
      <w:r>
        <w:rPr>
          <w:rFonts w:ascii="仿宋_GB2312" w:eastAsia="仿宋_GB2312" w:hAnsi="仿宋_GB2312" w:cs="仿宋_GB2312" w:hint="eastAsia"/>
          <w:sz w:val="32"/>
          <w:szCs w:val="32"/>
        </w:rPr>
        <w:t>优秀的校园文化，是凝聚师生力量，推动学校发展的动力。经过充分酝酿，征求意见，校党委确立了“与新时代共成长”的办学定位，凝炼出“初心明志，匠心致远”的校训，提出了“德行天下，技赢未来”的培养目标，发出“文明其精神，野蛮其体魄”的号召，并将其以文化石、标语等形式展现给师生，进入师生头脑，引领师生成长。</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夯实基础建设，完善办学功能。</w:t>
      </w:r>
      <w:r>
        <w:rPr>
          <w:rFonts w:ascii="仿宋_GB2312" w:eastAsia="仿宋_GB2312" w:hAnsi="仿宋_GB2312" w:cs="仿宋_GB2312" w:hint="eastAsia"/>
          <w:sz w:val="32"/>
          <w:szCs w:val="32"/>
        </w:rPr>
        <w:t>学校基本办学条件达标工程项目已获市发改委立项成功批复，建筑面积32400平方米，建设内容包括新建产教融合实训中心综合楼、体育馆和</w:t>
      </w:r>
      <w:r>
        <w:rPr>
          <w:rFonts w:ascii="仿宋_GB2312" w:eastAsia="仿宋_GB2312" w:hAnsi="仿宋_GB2312" w:cs="仿宋_GB2312" w:hint="eastAsia"/>
          <w:sz w:val="32"/>
          <w:szCs w:val="32"/>
        </w:rPr>
        <w:lastRenderedPageBreak/>
        <w:t>学员公寓。并积极争取通过申请地方政府专项债券的形式解决约1.41亿元的项目资金，现正在用地调规，进行可研报告阶段。</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实施园区办学，服务产业发展。</w:t>
      </w:r>
      <w:r>
        <w:rPr>
          <w:rFonts w:ascii="仿宋_GB2312" w:eastAsia="仿宋_GB2312" w:hAnsi="仿宋_GB2312" w:cs="仿宋_GB2312" w:hint="eastAsia"/>
          <w:sz w:val="32"/>
          <w:szCs w:val="32"/>
        </w:rPr>
        <w:t>市上投资约9.5亿元，占地250余亩的三江新区新校区已成立工作专班推进项目建设，预计2023年投入使用。届时学校在实现达标办学的同时将为三江新区产业园区提供源源不断的技术技能人才，满足企业“潮汐用工”需求，成为地方产业发展的人才“蓄水池”。目前项目建设正在用地调规，进行可研报告阶段。</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开展“三名”创建，促进优质发展。</w:t>
      </w:r>
      <w:r>
        <w:rPr>
          <w:rFonts w:ascii="仿宋_GB2312" w:eastAsia="仿宋_GB2312" w:hAnsi="仿宋_GB2312" w:cs="仿宋_GB2312" w:hint="eastAsia"/>
          <w:sz w:val="32"/>
          <w:szCs w:val="32"/>
        </w:rPr>
        <w:t>学校以“五星”名校标准积极开展四川省中等职业教育“三名工程”（名校名专业名实训基地）创建工作，并力争创建成为全国“双优”（优质中职学校、优质专业）。</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推进高职建设，提升办学层次。</w:t>
      </w:r>
      <w:r>
        <w:rPr>
          <w:rFonts w:ascii="仿宋_GB2312" w:eastAsia="仿宋_GB2312" w:hAnsi="仿宋_GB2312" w:cs="仿宋_GB2312" w:hint="eastAsia"/>
          <w:sz w:val="32"/>
          <w:szCs w:val="32"/>
        </w:rPr>
        <w:t>在市委市政府的大力助推下和市双城服务局的牵头下，由学校具体落实新建“宜宾工业职业技术学院”的相关工作，争取纳入四川省高校“十四五”设置规划。目前已通过省教厅初审并上报教育部，等待审核。</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三、以点带面，多渠道开展宣传</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机制保障宣传质量。</w:t>
      </w:r>
      <w:r>
        <w:rPr>
          <w:rFonts w:ascii="仿宋_GB2312" w:eastAsia="仿宋_GB2312" w:hAnsi="仿宋_GB2312" w:cs="仿宋_GB2312" w:hint="eastAsia"/>
          <w:sz w:val="32"/>
          <w:szCs w:val="32"/>
        </w:rPr>
        <w:t>学校成立了宣传工作领导小组，在各处室各系部的大力支持下，在广大教职员工的积极参与下，适应新时期宣传工作发展的要求，宣传工作机制更加完善并形成常规。校园各角落各班级都设有黑板报、宣传栏，能根据各个时期的政治形势和有关传统节日，开展时事政治教育。</w:t>
      </w:r>
      <w:r>
        <w:rPr>
          <w:rFonts w:ascii="仿宋_GB2312" w:eastAsia="仿宋_GB2312" w:hAnsi="仿宋_GB2312" w:cs="仿宋_GB2312" w:hint="eastAsia"/>
          <w:sz w:val="32"/>
          <w:szCs w:val="32"/>
        </w:rPr>
        <w:lastRenderedPageBreak/>
        <w:t>学校招生宣传形式多样，分别拍摄官方招生宣传片1条、H5网页介绍1个、九宫格微信图片宣传1组、招生新闻10余条。</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新媒体宣传拓展学校影响。</w:t>
      </w:r>
      <w:r>
        <w:rPr>
          <w:rFonts w:ascii="仿宋_GB2312" w:eastAsia="仿宋_GB2312" w:hAnsi="仿宋_GB2312" w:cs="仿宋_GB2312" w:hint="eastAsia"/>
          <w:sz w:val="32"/>
          <w:szCs w:val="32"/>
        </w:rPr>
        <w:t>通过新媒体直播的方式将庆祝建党100周年暨七一表彰大会、校学生会竞选、迎新歌咏比赛等活动将多彩的校园生态展示在广大群众的眼前，本学年累计直播9次，最高点击量达80万。在老师们的努力下，学校2022年在市教育及以上媒体累计发表通讯稿件30余篇，图片上百幅，电视新闻10条。在校园公众号上发布新闻91条，图文视频并茂；校园官方及各系部积极建立抖音平台，通过短视频的方式宣传多彩的校园生活。</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四、以提质培优为目标，严守教学生命线</w:t>
      </w:r>
    </w:p>
    <w:p w:rsidR="00D15656" w:rsidRDefault="00D15656" w:rsidP="00D15656">
      <w:pPr>
        <w:widowControl/>
        <w:adjustRightInd w:val="0"/>
        <w:snapToGrid w:val="0"/>
        <w:spacing w:line="57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优化专业结构，提升专业水平。</w:t>
      </w:r>
      <w:r>
        <w:rPr>
          <w:rFonts w:ascii="仿宋_GB2312" w:eastAsia="仿宋_GB2312" w:hAnsi="仿宋_GB2312" w:cs="仿宋_GB2312" w:hint="eastAsia"/>
          <w:kern w:val="0"/>
          <w:sz w:val="32"/>
          <w:szCs w:val="32"/>
        </w:rPr>
        <w:t>根据中共中央、国务院《成渝地区双城经济圈建设规划纲要》的新定位，以服务区域产业为指导，以企业需求为引领，以名专业建设为核心，以人才培养模式创新为动力，以多专业融合发展为根本，优化专业结构重点建设“智能制造专业群”和“信息技术专业群”，辐射带动“康养旅游专业群”、“商贸物流专业群”等专业群发展。2022年拟新增4个专业。</w:t>
      </w:r>
    </w:p>
    <w:p w:rsidR="00D15656" w:rsidRDefault="00D15656" w:rsidP="00D15656">
      <w:pPr>
        <w:pStyle w:val="ab"/>
        <w:spacing w:after="0"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立足教学常规，打造高效课堂。</w:t>
      </w:r>
      <w:r>
        <w:rPr>
          <w:rFonts w:ascii="仿宋_GB2312" w:eastAsia="仿宋_GB2312" w:hAnsi="仿宋_GB2312" w:cs="仿宋_GB2312" w:hint="eastAsia"/>
          <w:sz w:val="32"/>
          <w:szCs w:val="32"/>
        </w:rPr>
        <w:t>以“教学管理抓规范、学生学习抓习惯、教研活动抓问题”为思路，制定并完善了各项教学管理制度。严格教研组活动管理，扎实开展集体备课，多层次开展转转课、优质课大赛，建立系部自查、视频检查、现场巡查、不定时抽查相结合的教学常规巡查制度，</w:t>
      </w:r>
      <w:r>
        <w:rPr>
          <w:rFonts w:ascii="仿宋_GB2312" w:eastAsia="仿宋_GB2312" w:hAnsi="仿宋_GB2312" w:cs="仿宋_GB2312" w:hint="eastAsia"/>
          <w:sz w:val="32"/>
          <w:szCs w:val="32"/>
        </w:rPr>
        <w:lastRenderedPageBreak/>
        <w:t>规范教学常规，提高课堂教学有效性。构建动态教学评价体系，对教学过程进行多角度、多层次的评价，指导教学工作持续改进，保证课堂教学质量，真正促进学生的全面发展。</w:t>
      </w:r>
    </w:p>
    <w:p w:rsidR="00D15656" w:rsidRDefault="00D15656" w:rsidP="00D15656">
      <w:pPr>
        <w:widowControl/>
        <w:adjustRightInd w:val="0"/>
        <w:snapToGrid w:val="0"/>
        <w:spacing w:line="57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建机制抓大赛，提升大赛成绩。</w:t>
      </w:r>
      <w:r>
        <w:rPr>
          <w:rFonts w:ascii="仿宋_GB2312" w:eastAsia="仿宋_GB2312" w:hAnsi="仿宋_GB2312" w:cs="仿宋_GB2312" w:hint="eastAsia"/>
          <w:kern w:val="0"/>
          <w:sz w:val="32"/>
          <w:szCs w:val="32"/>
        </w:rPr>
        <w:t>完善大赛管理、激励制度，调动各系部大赛训练积极性，通过系统化的训练提升了学校学生、教师竞赛队伍整体实力。构建以赛促训，以赛促教、以赛促学技能大赛模式，参加宜宾市第十三届中职学生技能大赛19个赛项比赛，其中学校获一等奖4个，二等奖10个，三等奖9个。组织学生参加全国乡村振兴职业技能大赛选拔赛，获一等奖1个，三等奖2个；其中农机维修赛项代表四川省（学生组）参加国赛。</w:t>
      </w:r>
    </w:p>
    <w:p w:rsidR="00D15656" w:rsidRDefault="00D15656" w:rsidP="00D15656">
      <w:pPr>
        <w:widowControl/>
        <w:adjustRightInd w:val="0"/>
        <w:snapToGrid w:val="0"/>
        <w:spacing w:line="57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认真落实要求，细致考务工作。</w:t>
      </w:r>
      <w:r>
        <w:rPr>
          <w:rFonts w:ascii="仿宋_GB2312" w:eastAsia="仿宋_GB2312" w:hAnsi="仿宋_GB2312" w:cs="仿宋_GB2312" w:hint="eastAsia"/>
          <w:kern w:val="0"/>
          <w:sz w:val="32"/>
          <w:szCs w:val="32"/>
        </w:rPr>
        <w:t>精心谋划、细致安排考务工作，充分准备考点布置，保证各项考试公平、安全、科学、规范有序、严格。圆满完成高等教育自学考试、中央机关及其直属机构2022年度考试录用公务员笔试、2022年研究生招生考社等考试的考点工作，共涉及考生23258人，委派监考老师1117人，场次46场。</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五、以五育并举为抓手，实现三全育人</w:t>
      </w:r>
    </w:p>
    <w:p w:rsidR="00D15656" w:rsidRDefault="00D15656" w:rsidP="00D15656">
      <w:pPr>
        <w:spacing w:line="570" w:lineRule="exact"/>
        <w:ind w:firstLineChars="200" w:firstLine="643"/>
        <w:jc w:val="left"/>
      </w:pPr>
      <w:r>
        <w:rPr>
          <w:rFonts w:ascii="仿宋_GB2312" w:eastAsia="仿宋_GB2312" w:hAnsi="仿宋_GB2312" w:cs="仿宋_GB2312" w:hint="eastAsia"/>
          <w:b/>
          <w:bCs/>
          <w:sz w:val="32"/>
          <w:szCs w:val="32"/>
        </w:rPr>
        <w:t>自主管理，全面提升。</w:t>
      </w:r>
      <w:r>
        <w:rPr>
          <w:rFonts w:ascii="仿宋_GB2312" w:eastAsia="仿宋_GB2312" w:hAnsi="仿宋_GB2312" w:cs="仿宋_GB2312" w:hint="eastAsia"/>
          <w:sz w:val="32"/>
          <w:szCs w:val="32"/>
        </w:rPr>
        <w:t>通过“宜人宜宾”网络直播平台进行了新一届学生干部换届竞选工作，并受到广泛关注。德育处、校团委牵头搭建活动平台，学生会组织开展了“青春心向党、建功新时代”学生辩论赛，展示出了学生自主管理成果，也展现了当代中职生奋发激昂的精神面貌。</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德育铸魂，全员育人。</w:t>
      </w:r>
      <w:r>
        <w:rPr>
          <w:rFonts w:ascii="仿宋_GB2312" w:eastAsia="仿宋_GB2312" w:hAnsi="仿宋_GB2312" w:cs="仿宋_GB2312" w:hint="eastAsia"/>
          <w:sz w:val="32"/>
          <w:szCs w:val="32"/>
        </w:rPr>
        <w:t>全员午休静校，严格手机管控，</w:t>
      </w:r>
      <w:r>
        <w:rPr>
          <w:rFonts w:ascii="仿宋_GB2312" w:eastAsia="仿宋_GB2312" w:hAnsi="仿宋_GB2312" w:cs="仿宋_GB2312" w:hint="eastAsia"/>
          <w:sz w:val="32"/>
          <w:szCs w:val="32"/>
        </w:rPr>
        <w:lastRenderedPageBreak/>
        <w:t>促进学生良好习惯养成。扎实推进心理健康教育。与京师博仁心理咨询中心合作开展了专业化心理健康测评与辅导工作。专题教育课程化、多样化推进。协同多部门、多形式开展了生命安全、森林防火、禁毒防艾、环境保护等专题教育。每周二、四晚自习各班组织学生进行了爱国主义影视观影活动，每周开展国旗下主题演讲活动，全校各班级每周五开展主题班会课，厚植家国情怀。汽车工程系关怀系部女生，实施阳光成长行动。组织骨干女教师，每双周对系部女生（24名）进行一次交流式的集中培训，培训内容主要包含爱国教育、行为习惯、仪容仪表、人生三观、自尊自爱、感恩教育等内容。</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体育为基，全过程育人。</w:t>
      </w:r>
      <w:r>
        <w:rPr>
          <w:rFonts w:ascii="仿宋_GB2312" w:eastAsia="仿宋_GB2312" w:hAnsi="仿宋_GB2312" w:cs="仿宋_GB2312" w:hint="eastAsia"/>
          <w:sz w:val="32"/>
          <w:szCs w:val="32"/>
        </w:rPr>
        <w:t>完成阳光大课间自编操编排并推广。原创自编大课间室外操、室内操各两套。通过录制教学视频、体育课堂教学等方式，现已全校学生普及，自编操动作编排新颖，音乐健康向上、动感活泼，深受广大学生喜爱，项目实施效果显著。组织开展了校内体育竞赛活动。2021年秋期，各学生体育社团组织开展了“天天有活动，周周有比赛”系列体育竞赛活动，有效提高了学生参加体育锻炼的积极性，形成了特色鲜明的学校体育文化。组织参加了省、市级体育竞赛。2021年12月，学校排球队学生参加宜宾市气排球比赛中职中专男子组、中职中专女子组、中职中专混合组比赛，均获得第一名。2021年12月，学校再次被四川省排球协会认定为团体会员单位。</w:t>
      </w:r>
    </w:p>
    <w:p w:rsidR="00D15656" w:rsidRDefault="00D15656" w:rsidP="00D15656">
      <w:pPr>
        <w:spacing w:line="57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美育为灵，全方位育人。</w:t>
      </w:r>
      <w:r>
        <w:rPr>
          <w:rFonts w:ascii="仿宋_GB2312" w:eastAsia="仿宋_GB2312" w:hAnsi="仿宋_GB2312" w:cs="仿宋_GB2312" w:hint="eastAsia"/>
          <w:sz w:val="32"/>
          <w:szCs w:val="32"/>
        </w:rPr>
        <w:t>目前校艺术类社团有10个，</w:t>
      </w:r>
      <w:r>
        <w:rPr>
          <w:rFonts w:ascii="仿宋_GB2312" w:eastAsia="仿宋_GB2312" w:hAnsi="仿宋_GB2312" w:cs="仿宋_GB2312" w:hint="eastAsia"/>
          <w:sz w:val="32"/>
          <w:szCs w:val="32"/>
        </w:rPr>
        <w:lastRenderedPageBreak/>
        <w:t>主要以学生自愿参与的方式进行学习，指导教师以校内教师和校外教师组成，目前部分学生参与到活动中，组织学生开展社团招生工作，期末组织艺术社团开展了一场社团汇报演，观众评价好，同学们热情高涨。校舞蹈队和合唱队也正积极策划编排精品节目。组织开展了“与新时代共成长”2022年元旦迎新合唱比赛。本次合唱比赛全程直播，节目质量比往年高，学生参与度高，社会关注度高，各系部精心的编排的曲目和合唱队《职业教育歌》得到了嘉宾和观众的一致好评，也展示了学校开展“班班有歌声”和“天天诵经典”活动的成效。</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六、赛培结合，促进教师培养</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科学谋划，教师比赛成果丰硕。</w:t>
      </w:r>
      <w:r>
        <w:rPr>
          <w:rFonts w:ascii="仿宋_GB2312" w:eastAsia="仿宋_GB2312" w:hAnsi="仿宋_GB2312" w:cs="仿宋_GB2312" w:hint="eastAsia"/>
          <w:sz w:val="32"/>
          <w:szCs w:val="32"/>
        </w:rPr>
        <w:t>改变传统的推荐教师参赛模式及备赛办法，认真研究各类大赛规则，并以此为据有针对性的制订校内选拔流程，选拔优秀教师参赛以确保参赛选手的优质化。在选手备赛过程中，改变以往个人备赛及单独打造参赛作品的形式，采用团队参与、整体包装的方法，让老师在备赛过程中尽可能的得到更多专业支持和帮助以获得更优成绩。通过努力，本年在教师各项比赛中，共获得国家级三等奖1项，省级二等奖6项，省级三等奖9项。</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创新模式，实现教研教师培养新突破。</w:t>
      </w:r>
      <w:r>
        <w:rPr>
          <w:rFonts w:ascii="仿宋_GB2312" w:eastAsia="仿宋_GB2312" w:hAnsi="仿宋_GB2312" w:cs="仿宋_GB2312" w:hint="eastAsia"/>
          <w:sz w:val="32"/>
          <w:szCs w:val="32"/>
        </w:rPr>
        <w:t>由于疫情原因及学校会议厅升级改造等因素影响，今年线下的教师培训较难正常开展。为进一步提升教师教学教育能力及水平，在传统培训模式的基础上，推出线上培训+线下教研的教师培养模式，在市级骨干教师培养、1+X证书考评员、教师信息2.0</w:t>
      </w:r>
      <w:r>
        <w:rPr>
          <w:rFonts w:ascii="仿宋_GB2312" w:eastAsia="仿宋_GB2312" w:hAnsi="仿宋_GB2312" w:cs="仿宋_GB2312" w:hint="eastAsia"/>
          <w:sz w:val="32"/>
          <w:szCs w:val="32"/>
        </w:rPr>
        <w:lastRenderedPageBreak/>
        <w:t>提升等多项教师培训项目中，都起到了较好的学习效果。</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打造精品，形成优质师培资源库。</w:t>
      </w:r>
      <w:r>
        <w:rPr>
          <w:rFonts w:ascii="仿宋_GB2312" w:eastAsia="仿宋_GB2312" w:hAnsi="仿宋_GB2312" w:cs="仿宋_GB2312" w:hint="eastAsia"/>
          <w:sz w:val="32"/>
          <w:szCs w:val="32"/>
        </w:rPr>
        <w:t>本着打造精品培训，让参培教师受启有获的培训目标，积极联系教育教学名家、专家，邀请2020年全国职业院校技能比赛班主任比赛项目一等奖获得者刘霞、全国职业教育专家李学锋教授到学校进行培训。利用线上各类学习平台，储备优质学习资源，逐步形成学校的教师培养培训资源库。</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七、拓渠扩容，培训鉴定打开新局面</w:t>
      </w:r>
    </w:p>
    <w:p w:rsidR="00D15656" w:rsidRDefault="00D15656" w:rsidP="00D15656">
      <w:pPr>
        <w:spacing w:line="57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响应改革，取得各级各类技能鉴定资质。</w:t>
      </w:r>
      <w:r>
        <w:rPr>
          <w:rFonts w:ascii="仿宋_GB2312" w:eastAsia="仿宋_GB2312" w:hAnsi="仿宋_GB2312" w:cs="仿宋_GB2312" w:hint="eastAsia"/>
          <w:bCs/>
          <w:sz w:val="32"/>
          <w:szCs w:val="32"/>
        </w:rPr>
        <w:t>积极响应国家职业资格证书制度改革，取得电工、钳工、保育员、茶艺师、健康管理师等25个职业（工种）认定试点，在全省已经公示的技师学院中工种数量最多。经省人社厅评定，具备开展社会第三方职业技能等级认定条件，可面向社会开展汽车维修工、车工、中式烹调师、电子商务师4个职业（工种）的职业技能等级认定工作。成为中国轻工业联合会轻工业职业能力评价试运行直属基地，成功获得轻工行业12个职业（工种）的技能等级认定资格。</w:t>
      </w:r>
    </w:p>
    <w:p w:rsidR="00D15656" w:rsidRDefault="00D15656" w:rsidP="00D15656">
      <w:pPr>
        <w:spacing w:line="57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夯实基础，开展学生职业技能等级认定。</w:t>
      </w:r>
      <w:r>
        <w:rPr>
          <w:rFonts w:ascii="仿宋_GB2312" w:eastAsia="仿宋_GB2312" w:hAnsi="仿宋_GB2312" w:cs="仿宋_GB2312" w:hint="eastAsia"/>
          <w:bCs/>
          <w:sz w:val="32"/>
          <w:szCs w:val="32"/>
        </w:rPr>
        <w:t>组织开展对学生的技能等级认定2178人次，其中三级（高级工）209人。本项工作开展为学生拓宽技能人才成长通道、为社会经济发展培养更多新时代高素质技能技术人才打下坚实基础。</w:t>
      </w:r>
    </w:p>
    <w:p w:rsidR="00D15656" w:rsidRDefault="00D15656" w:rsidP="00D15656">
      <w:pPr>
        <w:spacing w:line="57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提质增效，社会培训面更广项目更全。</w:t>
      </w:r>
      <w:r>
        <w:rPr>
          <w:rFonts w:ascii="仿宋_GB2312" w:eastAsia="仿宋_GB2312" w:hAnsi="仿宋_GB2312" w:cs="仿宋_GB2312" w:hint="eastAsia"/>
          <w:bCs/>
          <w:sz w:val="32"/>
          <w:szCs w:val="32"/>
        </w:rPr>
        <w:t>2021年为社会开展技能培训5000余人，培训总收入产值200余万元，到账83余万元，还有117万余元正在申报待财政拨款。培训对象</w:t>
      </w:r>
      <w:r>
        <w:rPr>
          <w:rFonts w:ascii="仿宋_GB2312" w:eastAsia="仿宋_GB2312" w:hAnsi="仿宋_GB2312" w:cs="仿宋_GB2312" w:hint="eastAsia"/>
          <w:bCs/>
          <w:sz w:val="32"/>
          <w:szCs w:val="32"/>
        </w:rPr>
        <w:lastRenderedPageBreak/>
        <w:t>涉及返乡农民、企事业单位职工、部队官兵、在校学生及窗口从业人员等。参培单位及学员对我校组织的培训给予了高度评价，为我校后续开展各类职业技能培训打下了良好的基础。</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八、提前谋划，招生就业质量双提高</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优化方案，定点定量定责精准招生。</w:t>
      </w:r>
      <w:r>
        <w:rPr>
          <w:rFonts w:ascii="仿宋_GB2312" w:eastAsia="仿宋_GB2312" w:hAnsi="仿宋_GB2312" w:cs="仿宋_GB2312" w:hint="eastAsia"/>
          <w:sz w:val="32"/>
          <w:szCs w:val="32"/>
        </w:rPr>
        <w:t>顺利完成2021年招生任务。截止2021年8月31日，本年度招生报名缴费人数达到3991人，人文教育系报名人数达到822人，均创历史新高。做好技师学院招生专业设计和建设。确保两年内技师学院学制教育在校生规模达到3000人。高级技工、预备技师（技师）学制教育在校生规模不低于40%。拓展企业新型学徒制的合作项目，为宜宾规模企业开设高级工和预备技师员工订单班。</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提升质量，做好顶岗实习管理跟踪。</w:t>
      </w:r>
      <w:r>
        <w:rPr>
          <w:rFonts w:ascii="仿宋_GB2312" w:eastAsia="仿宋_GB2312" w:hAnsi="仿宋_GB2312" w:cs="仿宋_GB2312" w:hint="eastAsia"/>
          <w:sz w:val="32"/>
          <w:szCs w:val="32"/>
        </w:rPr>
        <w:t>根据2021实习就业工作方案，顺利举办2021年7月各专业实习校园双选会和12月学前教育专业实习校园双选会，共完成1833名学生的顶岗实习工作。调整实习就业方案，明确实习就业责任分工，加大系部主导权，提高专业实习与市场的适应性。招生与就业联动，在就业安排上向技师学院高级技工、预备技师毕业学生倾斜，力争企业落实技工院校学生相应待遇，扩大技师学院学生优势，增强技师学院吸引力。</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九、深化校企合作，实施校企协同育人</w:t>
      </w:r>
    </w:p>
    <w:p w:rsidR="00D15656" w:rsidRDefault="00D15656" w:rsidP="00D15656">
      <w:pPr>
        <w:pStyle w:val="a0"/>
        <w:spacing w:before="93" w:line="570" w:lineRule="exact"/>
        <w:ind w:firstLineChars="200" w:firstLine="640"/>
        <w:rPr>
          <w:rFonts w:hAnsi="仿宋_GB2312" w:cs="仿宋_GB2312"/>
          <w:sz w:val="32"/>
          <w:szCs w:val="32"/>
        </w:rPr>
      </w:pPr>
      <w:r>
        <w:rPr>
          <w:rFonts w:hAnsi="仿宋_GB2312" w:cs="仿宋_GB2312" w:hint="eastAsia"/>
          <w:sz w:val="32"/>
          <w:szCs w:val="32"/>
        </w:rPr>
        <w:t>与宁德时代（四川时代）、吉利汽车、极米光电、文广</w:t>
      </w:r>
      <w:r>
        <w:rPr>
          <w:rFonts w:hAnsi="仿宋_GB2312" w:cs="仿宋_GB2312" w:hint="eastAsia"/>
          <w:sz w:val="32"/>
          <w:szCs w:val="32"/>
        </w:rPr>
        <w:lastRenderedPageBreak/>
        <w:t>传媒集团等行业头部企业达成战略合作协议，进行专业共建，推进校外实训基地的建设。实施“企业+订单班”、“实习基地+工学结合”、新型学徒制等校企共育模式，增加优质企业合作数量。开展产训实习工作。协助教学处做好各系部产训实习工作，以及实习生高考单招报名现场确认工作。继续推进学校汽车产业孵化基地方案的建设，做好吉利汽车产业学院的建设。推动五环机械厂改制，拓展校企合作渠道，完成校企合作数量和合作深度的提升。以提高本地就业率为目标，优化校企合作模式，从分散实习，往集中对口实习方向努力，推进苏格、康佳、朵唯、长城、凯翼、吉利等企业厂中校单招定向实习班提前组建。完善专业教师到企业实践方案，积极拓宽校企共育渠道，提升专业教师能力。</w:t>
      </w:r>
    </w:p>
    <w:p w:rsidR="00D15656" w:rsidRDefault="00D15656" w:rsidP="00D15656">
      <w:pPr>
        <w:pStyle w:val="a0"/>
        <w:spacing w:before="93" w:line="570" w:lineRule="exact"/>
        <w:ind w:firstLineChars="200" w:firstLine="640"/>
        <w:rPr>
          <w:rFonts w:ascii="黑体" w:eastAsia="黑体" w:hAnsi="黑体" w:cs="黑体"/>
          <w:sz w:val="32"/>
          <w:szCs w:val="32"/>
        </w:rPr>
      </w:pPr>
      <w:r>
        <w:rPr>
          <w:rFonts w:ascii="黑体" w:eastAsia="黑体" w:hAnsi="黑体" w:cs="黑体" w:hint="eastAsia"/>
          <w:sz w:val="32"/>
          <w:szCs w:val="32"/>
        </w:rPr>
        <w:t>十、以需求为导向，精细服务师生员工</w:t>
      </w:r>
    </w:p>
    <w:p w:rsidR="00D15656" w:rsidRDefault="00D15656" w:rsidP="00D15656">
      <w:pPr>
        <w:spacing w:line="57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关爱教师健康。</w:t>
      </w:r>
      <w:r>
        <w:rPr>
          <w:rFonts w:ascii="仿宋_GB2312" w:eastAsia="仿宋_GB2312" w:hAnsi="仿宋_GB2312" w:cs="仿宋_GB2312" w:hint="eastAsia"/>
          <w:color w:val="000000"/>
          <w:sz w:val="32"/>
          <w:szCs w:val="32"/>
        </w:rPr>
        <w:t>协调三家公立医院，开展检前咨询，个性化制订体检方案，最大限度满足教职工需求，完成了教职工（含退休职工）体检工作。完善教职工活动场地，宽敞明亮、设施齐全的教职工健身中心建成并投入使用，在“把身体锻炼好也是一项工作”的思想指引下，越来越多的教职工爱上了锻炼、习惯了锻炼。进一步规范和完善在职和退休教职工关爱工作，开展了对在职困难教职工的慰问，对3名年满90岁的退休职工分别进行了慰问，在中秋、国庆、重阳和春节等传统节日继续开展对教职工的慰问。</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丰富教师精神。</w:t>
      </w:r>
      <w:r>
        <w:rPr>
          <w:rFonts w:ascii="仿宋_GB2312" w:eastAsia="仿宋_GB2312" w:hAnsi="仿宋_GB2312" w:cs="仿宋_GB2312" w:hint="eastAsia"/>
          <w:color w:val="000000"/>
          <w:sz w:val="32"/>
          <w:szCs w:val="32"/>
        </w:rPr>
        <w:t>充分利用学校现有设备设施和各种资源，调动教职员工积极性，开展教师社团活动，新成立了合唱社</w:t>
      </w:r>
      <w:r>
        <w:rPr>
          <w:rFonts w:ascii="仿宋_GB2312" w:eastAsia="仿宋_GB2312" w:hAnsi="仿宋_GB2312" w:cs="仿宋_GB2312" w:hint="eastAsia"/>
          <w:color w:val="000000"/>
          <w:sz w:val="32"/>
          <w:szCs w:val="32"/>
        </w:rPr>
        <w:lastRenderedPageBreak/>
        <w:t>团，共有六十余名教师报名参加，通过定期组织合唱训练，即使教师们学到了一定的合唱知识，又增进了教师之间的交流。</w:t>
      </w:r>
    </w:p>
    <w:p w:rsidR="00D15656" w:rsidRDefault="00D15656" w:rsidP="00D15656">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优化校园设施。</w:t>
      </w:r>
      <w:r>
        <w:rPr>
          <w:rFonts w:ascii="仿宋_GB2312" w:eastAsia="仿宋_GB2312" w:hAnsi="仿宋_GB2312" w:cs="仿宋_GB2312" w:hint="eastAsia"/>
          <w:sz w:val="32"/>
          <w:szCs w:val="32"/>
        </w:rPr>
        <w:t>改造学校大门和校门广场，更换了电动伸缩门、黑化并拓宽了路面，增加了文化石、草坪和花卉。在教学楼、实训楼楼道新增了条形LED灯等照明设施，既增加了亮度又节能美观，保障师生安全。更换教室课桌，增加书架，为学生提供了更好的学习条件。改建篮球场，将原有水泥地面运动场改建为塑胶风雨球场，减少了师生的运动伤害。（目前，篮球场改造提升项目正在实施中）。新建了室内乒乓活动室，为乒乓队集训提供了便利条件，为师生锻炼提供了理想场所。更新了学校大会议室设备设施，满足各种大型会议、培训等需求。克俭堂三楼食堂新铺设了地胶，更换了新的餐桌椅，营造了良好的就餐氛围。栽种了银杏树，夏日里将起到了遮阴功能，秋日里将形成了一道靓丽的风景线。</w:t>
      </w:r>
    </w:p>
    <w:p w:rsidR="00D15656" w:rsidRDefault="00D15656" w:rsidP="00D15656">
      <w:pPr>
        <w:pStyle w:val="ac"/>
        <w:spacing w:before="0" w:after="0" w:line="570" w:lineRule="exact"/>
        <w:ind w:firstLineChars="200" w:firstLine="640"/>
        <w:jc w:val="both"/>
        <w:rPr>
          <w:rFonts w:ascii="黑体" w:eastAsia="黑体" w:hAnsi="黑体" w:cs="黑体"/>
          <w:b w:val="0"/>
          <w:bCs w:val="0"/>
        </w:rPr>
      </w:pPr>
      <w:r>
        <w:rPr>
          <w:rFonts w:ascii="黑体" w:eastAsia="黑体" w:hAnsi="黑体" w:cs="黑体" w:hint="eastAsia"/>
          <w:b w:val="0"/>
          <w:bCs w:val="0"/>
        </w:rPr>
        <w:t>十一、勇毅笃行向未来，踵事增华再出发</w:t>
      </w:r>
    </w:p>
    <w:p w:rsidR="00D15656" w:rsidRDefault="00D15656" w:rsidP="00D15656">
      <w:pPr>
        <w:pStyle w:val="ac"/>
        <w:spacing w:before="0" w:after="0" w:line="57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b w:val="0"/>
          <w:bCs w:val="0"/>
        </w:rPr>
        <w:t>历史于时序更替中前行，梦想在砥砺奋进中实现。只有踔厉奋发、笃行不怠，才能不负历史、不负时代、不负人民。回望2021，我们没有理由不为学校的快步发展而自豪；展望2022，我们也没有理由不背起新的行囊向前继续挺进。新的一年，我们万众一心。冀以尘雾之微补益山海，荧烛末光增辉日月。历史滚滚向前，你我皆是主角。正是平凡的你我用生命点燃希望、用拼搏编织梦想，汇入了历史江河，刻画成时代苍穹。每一份付出都弥足珍贵，每一次相依都写满期盼。</w:t>
      </w:r>
      <w:r>
        <w:rPr>
          <w:rFonts w:ascii="仿宋_GB2312" w:eastAsia="仿宋_GB2312" w:hAnsi="仿宋_GB2312" w:cs="仿宋_GB2312" w:hint="eastAsia"/>
          <w:b w:val="0"/>
          <w:bCs w:val="0"/>
        </w:rPr>
        <w:lastRenderedPageBreak/>
        <w:t>微光汇聚，全校师生员工众志成城、锐不可当，心往一处想、劲往一处使，用时间雕刻理想的光辉，让今天的奋斗成就明天的荣光。</w:t>
      </w:r>
    </w:p>
    <w:p w:rsidR="00FB7B1A" w:rsidRDefault="00A57848" w:rsidP="00D82F35">
      <w:pPr>
        <w:widowControl/>
        <w:ind w:firstLineChars="200" w:firstLine="640"/>
        <w:jc w:val="left"/>
        <w:rPr>
          <w:rFonts w:ascii="仿宋" w:eastAsia="仿宋" w:hAnsi="仿宋"/>
          <w:kern w:val="0"/>
          <w:sz w:val="32"/>
          <w:szCs w:val="32"/>
        </w:rPr>
      </w:pPr>
      <w:r>
        <w:rPr>
          <w:rFonts w:ascii="仿宋" w:eastAsia="仿宋" w:hAnsi="仿宋"/>
          <w:sz w:val="32"/>
          <w:szCs w:val="32"/>
        </w:rPr>
        <w:br w:type="page"/>
      </w:r>
    </w:p>
    <w:p w:rsidR="00FB7B1A" w:rsidRDefault="00A57848">
      <w:pPr>
        <w:pStyle w:val="1"/>
        <w:ind w:right="440"/>
        <w:jc w:val="center"/>
        <w:rPr>
          <w:rStyle w:val="1Char"/>
          <w:rFonts w:ascii="黑体" w:eastAsia="黑体" w:hAnsi="黑体"/>
          <w:bCs/>
        </w:rPr>
      </w:pPr>
      <w:bookmarkStart w:id="15" w:name="_Toc15396602"/>
      <w:bookmarkStart w:id="16" w:name="_Toc15377204"/>
      <w:bookmarkStart w:id="17" w:name="_Toc115080898"/>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15"/>
      <w:bookmarkEnd w:id="16"/>
      <w:bookmarkEnd w:id="17"/>
    </w:p>
    <w:p w:rsidR="00FB7B1A" w:rsidRDefault="00FB7B1A"/>
    <w:p w:rsidR="00FB7B1A" w:rsidRDefault="00A57848">
      <w:pPr>
        <w:pStyle w:val="a9"/>
        <w:numPr>
          <w:ilvl w:val="0"/>
          <w:numId w:val="1"/>
        </w:numPr>
        <w:spacing w:line="600" w:lineRule="exact"/>
        <w:ind w:firstLineChars="0"/>
        <w:outlineLvl w:val="1"/>
        <w:rPr>
          <w:rStyle w:val="2Char"/>
          <w:rFonts w:ascii="黑体" w:eastAsia="黑体" w:hAnsi="黑体"/>
          <w:b w:val="0"/>
        </w:rPr>
      </w:pPr>
      <w:bookmarkStart w:id="18" w:name="_Toc15396603"/>
      <w:bookmarkStart w:id="19" w:name="_Toc15377205"/>
      <w:bookmarkStart w:id="20" w:name="_Toc115080899"/>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bookmarkEnd w:id="20"/>
    </w:p>
    <w:p w:rsidR="007E25B6" w:rsidRPr="00B72B4C" w:rsidRDefault="00A57848" w:rsidP="00BB67D5">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sidR="00625996">
        <w:rPr>
          <w:rFonts w:ascii="仿宋" w:eastAsia="仿宋" w:hAnsi="仿宋" w:hint="eastAsia"/>
          <w:sz w:val="32"/>
          <w:szCs w:val="32"/>
        </w:rPr>
        <w:t>13095.03</w:t>
      </w:r>
      <w:r>
        <w:rPr>
          <w:rFonts w:ascii="仿宋" w:eastAsia="仿宋" w:hAnsi="仿宋" w:hint="eastAsia"/>
          <w:sz w:val="32"/>
          <w:szCs w:val="32"/>
        </w:rPr>
        <w:t>万元。与2020年相比，收、支总计各减少</w:t>
      </w:r>
      <w:r w:rsidR="00625996">
        <w:rPr>
          <w:rFonts w:ascii="仿宋" w:eastAsia="仿宋" w:hAnsi="仿宋" w:hint="eastAsia"/>
          <w:sz w:val="32"/>
          <w:szCs w:val="32"/>
        </w:rPr>
        <w:t>1165.91</w:t>
      </w:r>
      <w:r>
        <w:rPr>
          <w:rFonts w:ascii="仿宋" w:eastAsia="仿宋" w:hAnsi="仿宋" w:hint="eastAsia"/>
          <w:sz w:val="32"/>
          <w:szCs w:val="32"/>
        </w:rPr>
        <w:t>万元，下降</w:t>
      </w:r>
      <w:r w:rsidR="00625996">
        <w:rPr>
          <w:rFonts w:ascii="仿宋" w:eastAsia="仿宋" w:hAnsi="仿宋" w:hint="eastAsia"/>
          <w:sz w:val="32"/>
          <w:szCs w:val="32"/>
        </w:rPr>
        <w:t>8.18</w:t>
      </w:r>
      <w:r>
        <w:rPr>
          <w:rFonts w:ascii="仿宋" w:eastAsia="仿宋" w:hAnsi="仿宋"/>
          <w:sz w:val="32"/>
          <w:szCs w:val="32"/>
        </w:rPr>
        <w:t>%</w:t>
      </w:r>
      <w:r>
        <w:rPr>
          <w:rFonts w:ascii="仿宋" w:eastAsia="仿宋" w:hAnsi="仿宋" w:hint="eastAsia"/>
          <w:sz w:val="32"/>
          <w:szCs w:val="32"/>
        </w:rPr>
        <w:t>。主要变动原因是</w:t>
      </w:r>
      <w:r w:rsidR="00BB67D5">
        <w:rPr>
          <w:rFonts w:ascii="仿宋" w:eastAsia="仿宋" w:hAnsi="仿宋" w:hint="eastAsia"/>
          <w:sz w:val="32"/>
          <w:szCs w:val="32"/>
        </w:rPr>
        <w:t>年</w:t>
      </w:r>
      <w:r w:rsidR="002B3FD4">
        <w:rPr>
          <w:rFonts w:ascii="仿宋" w:eastAsia="仿宋" w:hAnsi="仿宋" w:hint="eastAsia"/>
          <w:color w:val="000000"/>
          <w:sz w:val="32"/>
          <w:szCs w:val="32"/>
        </w:rPr>
        <w:t>末结转和结余减少。</w:t>
      </w:r>
    </w:p>
    <w:p w:rsidR="00FB7B1A" w:rsidRPr="00B72B4C" w:rsidRDefault="00BB67D5" w:rsidP="00BB67D5">
      <w:pPr>
        <w:spacing w:line="600" w:lineRule="exact"/>
        <w:rPr>
          <w:rFonts w:ascii="仿宋" w:eastAsia="仿宋" w:hAnsi="仿宋"/>
          <w:sz w:val="32"/>
          <w:szCs w:val="32"/>
        </w:rPr>
      </w:pPr>
      <w:r>
        <w:rPr>
          <w:rFonts w:ascii="仿宋" w:eastAsia="仿宋" w:hAnsi="仿宋"/>
          <w:noProof/>
          <w:sz w:val="32"/>
          <w:szCs w:val="32"/>
          <w:highlight w:val="yellow"/>
        </w:rPr>
        <w:drawing>
          <wp:anchor distT="0" distB="0" distL="114300" distR="114300" simplePos="0" relativeHeight="251658240" behindDoc="0" locked="0" layoutInCell="1" allowOverlap="1">
            <wp:simplePos x="0" y="0"/>
            <wp:positionH relativeFrom="column">
              <wp:posOffset>381000</wp:posOffset>
            </wp:positionH>
            <wp:positionV relativeFrom="paragraph">
              <wp:posOffset>382270</wp:posOffset>
            </wp:positionV>
            <wp:extent cx="2804160" cy="129540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04160" cy="1295400"/>
                    </a:xfrm>
                    <a:prstGeom prst="rect">
                      <a:avLst/>
                    </a:prstGeom>
                    <a:noFill/>
                  </pic:spPr>
                </pic:pic>
              </a:graphicData>
            </a:graphic>
          </wp:anchor>
        </w:drawing>
      </w:r>
      <w:r w:rsidR="00A57848" w:rsidRPr="00B72B4C">
        <w:rPr>
          <w:rFonts w:ascii="仿宋" w:eastAsia="仿宋" w:hAnsi="仿宋" w:hint="eastAsia"/>
          <w:sz w:val="32"/>
          <w:szCs w:val="32"/>
        </w:rPr>
        <w:t>（图</w:t>
      </w:r>
      <w:r w:rsidR="00A57848" w:rsidRPr="00B72B4C">
        <w:rPr>
          <w:rFonts w:ascii="仿宋" w:eastAsia="仿宋" w:hAnsi="仿宋"/>
          <w:sz w:val="32"/>
          <w:szCs w:val="32"/>
        </w:rPr>
        <w:t>1</w:t>
      </w:r>
      <w:r w:rsidR="00A57848" w:rsidRPr="00B72B4C">
        <w:rPr>
          <w:rFonts w:ascii="仿宋" w:eastAsia="仿宋" w:hAnsi="仿宋" w:hint="eastAsia"/>
          <w:sz w:val="32"/>
          <w:szCs w:val="32"/>
        </w:rPr>
        <w:t>：收、支决算总计变动情况图）</w:t>
      </w:r>
    </w:p>
    <w:p w:rsidR="00FB7B1A" w:rsidRDefault="00A57848">
      <w:pPr>
        <w:pStyle w:val="a9"/>
        <w:numPr>
          <w:ilvl w:val="0"/>
          <w:numId w:val="1"/>
        </w:numPr>
        <w:spacing w:line="600" w:lineRule="exact"/>
        <w:ind w:firstLineChars="0"/>
        <w:outlineLvl w:val="1"/>
        <w:rPr>
          <w:rStyle w:val="2Char"/>
          <w:rFonts w:ascii="黑体" w:eastAsia="黑体" w:hAnsi="黑体"/>
          <w:b w:val="0"/>
        </w:rPr>
      </w:pPr>
      <w:bookmarkStart w:id="21" w:name="_Toc15396604"/>
      <w:bookmarkStart w:id="22" w:name="_Toc15377206"/>
      <w:bookmarkStart w:id="23" w:name="_Toc115080900"/>
      <w:r>
        <w:rPr>
          <w:rFonts w:ascii="黑体" w:eastAsia="黑体" w:hAnsi="黑体" w:hint="eastAsia"/>
          <w:sz w:val="32"/>
          <w:szCs w:val="32"/>
        </w:rPr>
        <w:t>收</w:t>
      </w:r>
      <w:r>
        <w:rPr>
          <w:rStyle w:val="2Char"/>
          <w:rFonts w:ascii="黑体" w:eastAsia="黑体" w:hAnsi="黑体" w:hint="eastAsia"/>
          <w:b w:val="0"/>
        </w:rPr>
        <w:t>入决算情况说明</w:t>
      </w:r>
      <w:bookmarkEnd w:id="21"/>
      <w:bookmarkEnd w:id="22"/>
      <w:bookmarkEnd w:id="23"/>
    </w:p>
    <w:p w:rsidR="005C6BAB" w:rsidRPr="005C6BAB" w:rsidRDefault="00A57848" w:rsidP="005C6BAB">
      <w:pPr>
        <w:spacing w:line="600" w:lineRule="exact"/>
        <w:ind w:firstLineChars="200" w:firstLine="640"/>
        <w:outlineLvl w:val="1"/>
        <w:rPr>
          <w:rFonts w:ascii="仿宋" w:eastAsia="仿宋" w:hAnsi="仿宋"/>
          <w:sz w:val="32"/>
          <w:szCs w:val="32"/>
        </w:rPr>
      </w:pPr>
      <w:bookmarkStart w:id="24" w:name="_Toc115080901"/>
      <w:r>
        <w:rPr>
          <w:rFonts w:ascii="仿宋" w:eastAsia="仿宋" w:hAnsi="仿宋"/>
          <w:sz w:val="32"/>
          <w:szCs w:val="32"/>
        </w:rPr>
        <w:t>20</w:t>
      </w:r>
      <w:r>
        <w:rPr>
          <w:rFonts w:ascii="仿宋" w:eastAsia="仿宋" w:hAnsi="仿宋" w:hint="eastAsia"/>
          <w:sz w:val="32"/>
          <w:szCs w:val="32"/>
        </w:rPr>
        <w:t>21年本年收入合计</w:t>
      </w:r>
      <w:r w:rsidR="00E655FA">
        <w:rPr>
          <w:rFonts w:ascii="仿宋" w:eastAsia="仿宋" w:hAnsi="仿宋" w:hint="eastAsia"/>
          <w:sz w:val="32"/>
          <w:szCs w:val="32"/>
        </w:rPr>
        <w:t>10135.08</w:t>
      </w:r>
      <w:r>
        <w:rPr>
          <w:rFonts w:ascii="仿宋" w:eastAsia="仿宋" w:hAnsi="仿宋" w:hint="eastAsia"/>
          <w:sz w:val="32"/>
          <w:szCs w:val="32"/>
        </w:rPr>
        <w:t>万元，其中：一般公共预算财政拨款收入</w:t>
      </w:r>
      <w:r w:rsidR="00E655FA">
        <w:rPr>
          <w:rFonts w:ascii="仿宋" w:eastAsia="仿宋" w:hAnsi="仿宋" w:hint="eastAsia"/>
          <w:sz w:val="32"/>
          <w:szCs w:val="32"/>
        </w:rPr>
        <w:t>9725.01</w:t>
      </w:r>
      <w:r>
        <w:rPr>
          <w:rFonts w:ascii="仿宋" w:eastAsia="仿宋" w:hAnsi="仿宋" w:hint="eastAsia"/>
          <w:sz w:val="32"/>
          <w:szCs w:val="32"/>
        </w:rPr>
        <w:t>万元，占</w:t>
      </w:r>
      <w:r w:rsidR="00F53893">
        <w:rPr>
          <w:rFonts w:ascii="仿宋" w:eastAsia="仿宋" w:hAnsi="仿宋" w:hint="eastAsia"/>
          <w:sz w:val="32"/>
          <w:szCs w:val="32"/>
        </w:rPr>
        <w:t>95.95</w:t>
      </w:r>
      <w:r>
        <w:rPr>
          <w:rFonts w:ascii="仿宋" w:eastAsia="仿宋" w:hAnsi="仿宋"/>
          <w:sz w:val="32"/>
          <w:szCs w:val="32"/>
        </w:rPr>
        <w:t>%</w:t>
      </w:r>
      <w:r>
        <w:rPr>
          <w:rFonts w:ascii="仿宋" w:eastAsia="仿宋" w:hAnsi="仿宋" w:hint="eastAsia"/>
          <w:sz w:val="32"/>
          <w:szCs w:val="32"/>
        </w:rPr>
        <w:t>；政府性基金预算财政拨款收入</w:t>
      </w:r>
      <w:r w:rsidR="00F53893">
        <w:rPr>
          <w:rFonts w:ascii="仿宋" w:eastAsia="仿宋" w:hAnsi="仿宋" w:hint="eastAsia"/>
          <w:sz w:val="32"/>
          <w:szCs w:val="32"/>
        </w:rPr>
        <w:t>0</w:t>
      </w:r>
      <w:r>
        <w:rPr>
          <w:rFonts w:ascii="仿宋" w:eastAsia="仿宋" w:hAnsi="仿宋" w:hint="eastAsia"/>
          <w:sz w:val="32"/>
          <w:szCs w:val="32"/>
        </w:rPr>
        <w:t>万元，占</w:t>
      </w:r>
      <w:r w:rsidR="00F53893">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；事业收入</w:t>
      </w:r>
      <w:r w:rsidR="00F53893">
        <w:rPr>
          <w:rFonts w:ascii="仿宋" w:eastAsia="仿宋" w:hAnsi="仿宋" w:hint="eastAsia"/>
          <w:sz w:val="32"/>
          <w:szCs w:val="32"/>
        </w:rPr>
        <w:t>361.69</w:t>
      </w:r>
      <w:r>
        <w:rPr>
          <w:rFonts w:ascii="仿宋" w:eastAsia="仿宋" w:hAnsi="仿宋" w:hint="eastAsia"/>
          <w:sz w:val="32"/>
          <w:szCs w:val="32"/>
        </w:rPr>
        <w:t>万元，占</w:t>
      </w:r>
      <w:r w:rsidR="00F53893">
        <w:rPr>
          <w:rFonts w:ascii="仿宋" w:eastAsia="仿宋" w:hAnsi="仿宋" w:hint="eastAsia"/>
          <w:sz w:val="32"/>
          <w:szCs w:val="32"/>
        </w:rPr>
        <w:t>3.57</w:t>
      </w:r>
      <w:r>
        <w:rPr>
          <w:rFonts w:ascii="仿宋" w:eastAsia="仿宋" w:hAnsi="仿宋"/>
          <w:sz w:val="32"/>
          <w:szCs w:val="32"/>
        </w:rPr>
        <w:t>%</w:t>
      </w:r>
      <w:r>
        <w:rPr>
          <w:rFonts w:ascii="仿宋" w:eastAsia="仿宋" w:hAnsi="仿宋" w:hint="eastAsia"/>
          <w:sz w:val="32"/>
          <w:szCs w:val="32"/>
        </w:rPr>
        <w:t>；</w:t>
      </w:r>
      <w:bookmarkEnd w:id="24"/>
      <w:r w:rsidR="00F53893">
        <w:rPr>
          <w:rFonts w:ascii="仿宋" w:eastAsia="仿宋" w:hAnsi="仿宋" w:hint="eastAsia"/>
          <w:sz w:val="32"/>
          <w:szCs w:val="32"/>
        </w:rPr>
        <w:t>其他收入48.38万元。</w:t>
      </w:r>
    </w:p>
    <w:p w:rsidR="005C6BAB" w:rsidRPr="005C6BAB" w:rsidRDefault="005C6BAB" w:rsidP="005C6BAB">
      <w:pPr>
        <w:pStyle w:val="a0"/>
        <w:spacing w:before="93"/>
      </w:pPr>
      <w:r>
        <w:rPr>
          <w:noProof/>
        </w:rPr>
        <w:drawing>
          <wp:inline distT="0" distB="0" distL="0" distR="0">
            <wp:extent cx="3755390" cy="20847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390" cy="2084705"/>
                    </a:xfrm>
                    <a:prstGeom prst="rect">
                      <a:avLst/>
                    </a:prstGeom>
                    <a:noFill/>
                  </pic:spPr>
                </pic:pic>
              </a:graphicData>
            </a:graphic>
          </wp:inline>
        </w:drawing>
      </w:r>
    </w:p>
    <w:p w:rsidR="00FB7B1A" w:rsidRPr="005C6BAB" w:rsidRDefault="00A57848" w:rsidP="00F53893">
      <w:pPr>
        <w:spacing w:line="600" w:lineRule="exact"/>
        <w:rPr>
          <w:rFonts w:ascii="仿宋" w:eastAsia="仿宋" w:hAnsi="仿宋"/>
          <w:sz w:val="32"/>
          <w:szCs w:val="32"/>
        </w:rPr>
      </w:pPr>
      <w:r w:rsidRPr="00B72B4C">
        <w:rPr>
          <w:rFonts w:ascii="仿宋" w:eastAsia="仿宋" w:hAnsi="仿宋" w:hint="eastAsia"/>
          <w:sz w:val="32"/>
          <w:szCs w:val="32"/>
        </w:rPr>
        <w:t>（图2：收入决算结构图）</w:t>
      </w:r>
    </w:p>
    <w:p w:rsidR="00FB7B1A" w:rsidRDefault="00A57848">
      <w:pPr>
        <w:pStyle w:val="a9"/>
        <w:numPr>
          <w:ilvl w:val="0"/>
          <w:numId w:val="1"/>
        </w:numPr>
        <w:spacing w:line="600" w:lineRule="exact"/>
        <w:ind w:firstLineChars="0"/>
        <w:outlineLvl w:val="1"/>
        <w:rPr>
          <w:rStyle w:val="2Char"/>
          <w:rFonts w:ascii="黑体" w:eastAsia="黑体" w:hAnsi="黑体"/>
          <w:b w:val="0"/>
        </w:rPr>
      </w:pPr>
      <w:bookmarkStart w:id="25" w:name="_Toc15396605"/>
      <w:bookmarkStart w:id="26" w:name="_Toc15377207"/>
      <w:bookmarkStart w:id="27" w:name="_Toc115080902"/>
      <w:r>
        <w:rPr>
          <w:rFonts w:ascii="黑体" w:eastAsia="黑体" w:hAnsi="黑体" w:hint="eastAsia"/>
          <w:sz w:val="32"/>
          <w:szCs w:val="32"/>
        </w:rPr>
        <w:lastRenderedPageBreak/>
        <w:t>支</w:t>
      </w:r>
      <w:r>
        <w:rPr>
          <w:rStyle w:val="2Char"/>
          <w:rFonts w:ascii="黑体" w:eastAsia="黑体" w:hAnsi="黑体" w:hint="eastAsia"/>
          <w:b w:val="0"/>
        </w:rPr>
        <w:t>出决算情况说明</w:t>
      </w:r>
      <w:bookmarkEnd w:id="25"/>
      <w:bookmarkEnd w:id="26"/>
      <w:bookmarkEnd w:id="27"/>
    </w:p>
    <w:p w:rsidR="00FB7B1A" w:rsidRDefault="00A57848" w:rsidP="00B72B4C">
      <w:pPr>
        <w:spacing w:line="600" w:lineRule="exact"/>
        <w:ind w:firstLineChars="200" w:firstLine="640"/>
        <w:outlineLvl w:val="1"/>
        <w:rPr>
          <w:rFonts w:ascii="仿宋_GB2312" w:eastAsia="仿宋_GB2312"/>
          <w:noProof/>
          <w:sz w:val="32"/>
          <w:szCs w:val="32"/>
        </w:rPr>
      </w:pPr>
      <w:bookmarkStart w:id="28" w:name="_Toc115080903"/>
      <w:r>
        <w:rPr>
          <w:rFonts w:ascii="仿宋" w:eastAsia="仿宋" w:hAnsi="仿宋"/>
          <w:sz w:val="32"/>
          <w:szCs w:val="32"/>
        </w:rPr>
        <w:t>20</w:t>
      </w:r>
      <w:r>
        <w:rPr>
          <w:rFonts w:ascii="仿宋" w:eastAsia="仿宋" w:hAnsi="仿宋" w:hint="eastAsia"/>
          <w:sz w:val="32"/>
          <w:szCs w:val="32"/>
        </w:rPr>
        <w:t>21年本年支出合计</w:t>
      </w:r>
      <w:r w:rsidR="0043635A">
        <w:rPr>
          <w:rFonts w:ascii="仿宋" w:eastAsia="仿宋" w:hAnsi="仿宋" w:hint="eastAsia"/>
          <w:sz w:val="32"/>
          <w:szCs w:val="32"/>
        </w:rPr>
        <w:t>13064.69</w:t>
      </w:r>
      <w:r>
        <w:rPr>
          <w:rFonts w:ascii="仿宋" w:eastAsia="仿宋" w:hAnsi="仿宋" w:hint="eastAsia"/>
          <w:sz w:val="32"/>
          <w:szCs w:val="32"/>
        </w:rPr>
        <w:t>万元，其中：基本支出</w:t>
      </w:r>
      <w:r w:rsidR="0043635A">
        <w:rPr>
          <w:rFonts w:ascii="仿宋" w:eastAsia="仿宋" w:hAnsi="仿宋" w:hint="eastAsia"/>
          <w:sz w:val="32"/>
          <w:szCs w:val="32"/>
        </w:rPr>
        <w:t>8465.46</w:t>
      </w:r>
      <w:r>
        <w:rPr>
          <w:rFonts w:ascii="仿宋" w:eastAsia="仿宋" w:hAnsi="仿宋" w:hint="eastAsia"/>
          <w:sz w:val="32"/>
          <w:szCs w:val="32"/>
        </w:rPr>
        <w:t>万元，占</w:t>
      </w:r>
      <w:r w:rsidR="0043635A">
        <w:rPr>
          <w:rFonts w:ascii="仿宋" w:eastAsia="仿宋" w:hAnsi="仿宋" w:hint="eastAsia"/>
          <w:sz w:val="32"/>
          <w:szCs w:val="32"/>
        </w:rPr>
        <w:t>64.80</w:t>
      </w:r>
      <w:r>
        <w:rPr>
          <w:rFonts w:ascii="仿宋" w:eastAsia="仿宋" w:hAnsi="仿宋"/>
          <w:sz w:val="32"/>
          <w:szCs w:val="32"/>
        </w:rPr>
        <w:t>%</w:t>
      </w:r>
      <w:r>
        <w:rPr>
          <w:rFonts w:ascii="仿宋" w:eastAsia="仿宋" w:hAnsi="仿宋" w:hint="eastAsia"/>
          <w:sz w:val="32"/>
          <w:szCs w:val="32"/>
        </w:rPr>
        <w:t>；项目支出</w:t>
      </w:r>
      <w:r w:rsidR="0043635A">
        <w:rPr>
          <w:rFonts w:ascii="仿宋" w:eastAsia="仿宋" w:hAnsi="仿宋" w:hint="eastAsia"/>
          <w:sz w:val="32"/>
          <w:szCs w:val="32"/>
        </w:rPr>
        <w:t>4599.24</w:t>
      </w:r>
      <w:r>
        <w:rPr>
          <w:rFonts w:ascii="仿宋" w:eastAsia="仿宋" w:hAnsi="仿宋" w:hint="eastAsia"/>
          <w:sz w:val="32"/>
          <w:szCs w:val="32"/>
        </w:rPr>
        <w:t>万元，占</w:t>
      </w:r>
      <w:r w:rsidR="0043635A">
        <w:rPr>
          <w:rFonts w:ascii="仿宋" w:eastAsia="仿宋" w:hAnsi="仿宋" w:hint="eastAsia"/>
          <w:sz w:val="32"/>
          <w:szCs w:val="32"/>
        </w:rPr>
        <w:t>35.2</w:t>
      </w:r>
      <w:r>
        <w:rPr>
          <w:rFonts w:ascii="仿宋" w:eastAsia="仿宋" w:hAnsi="仿宋"/>
          <w:sz w:val="32"/>
          <w:szCs w:val="32"/>
        </w:rPr>
        <w:t>%</w:t>
      </w:r>
      <w:r>
        <w:rPr>
          <w:rFonts w:ascii="仿宋" w:eastAsia="仿宋" w:hAnsi="仿宋" w:hint="eastAsia"/>
          <w:sz w:val="32"/>
          <w:szCs w:val="32"/>
        </w:rPr>
        <w:t>。</w:t>
      </w:r>
      <w:bookmarkEnd w:id="28"/>
    </w:p>
    <w:p w:rsidR="0043635A" w:rsidRPr="0043635A" w:rsidRDefault="0043635A" w:rsidP="0043635A">
      <w:pPr>
        <w:pStyle w:val="a0"/>
        <w:spacing w:before="93"/>
      </w:pPr>
      <w:r>
        <w:rPr>
          <w:noProof/>
        </w:rPr>
        <w:drawing>
          <wp:inline distT="0" distB="0" distL="0" distR="0">
            <wp:extent cx="2999740" cy="17621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740" cy="1762125"/>
                    </a:xfrm>
                    <a:prstGeom prst="rect">
                      <a:avLst/>
                    </a:prstGeom>
                    <a:noFill/>
                  </pic:spPr>
                </pic:pic>
              </a:graphicData>
            </a:graphic>
          </wp:inline>
        </w:drawing>
      </w:r>
    </w:p>
    <w:p w:rsidR="00FB7B1A" w:rsidRPr="00B72B4C" w:rsidRDefault="00A57848" w:rsidP="00B72B4C">
      <w:pPr>
        <w:spacing w:line="600" w:lineRule="exact"/>
        <w:ind w:firstLineChars="200" w:firstLine="640"/>
        <w:rPr>
          <w:rFonts w:ascii="仿宋" w:eastAsia="仿宋" w:hAnsi="仿宋"/>
          <w:sz w:val="32"/>
          <w:szCs w:val="32"/>
        </w:rPr>
      </w:pPr>
      <w:r w:rsidRPr="00B72B4C">
        <w:rPr>
          <w:rFonts w:ascii="仿宋" w:eastAsia="仿宋" w:hAnsi="仿宋" w:hint="eastAsia"/>
          <w:sz w:val="32"/>
          <w:szCs w:val="32"/>
        </w:rPr>
        <w:t>（图3：支出决算结构图）</w:t>
      </w:r>
    </w:p>
    <w:p w:rsidR="00FB7B1A" w:rsidRDefault="00A57848">
      <w:pPr>
        <w:spacing w:line="600" w:lineRule="exact"/>
        <w:ind w:firstLineChars="200" w:firstLine="640"/>
        <w:outlineLvl w:val="1"/>
        <w:rPr>
          <w:rStyle w:val="2Char"/>
          <w:rFonts w:ascii="黑体" w:eastAsia="黑体" w:hAnsi="黑体"/>
          <w:b w:val="0"/>
        </w:rPr>
      </w:pPr>
      <w:bookmarkStart w:id="29" w:name="_Toc15377208"/>
      <w:bookmarkStart w:id="30" w:name="_Toc15396606"/>
      <w:bookmarkStart w:id="31" w:name="_Toc115080904"/>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9"/>
      <w:bookmarkEnd w:id="30"/>
      <w:bookmarkEnd w:id="31"/>
    </w:p>
    <w:p w:rsidR="00FB7B1A" w:rsidRDefault="00A57848" w:rsidP="003B6FB4">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43635A">
        <w:rPr>
          <w:rFonts w:ascii="仿宋" w:eastAsia="仿宋" w:hAnsi="仿宋" w:hint="eastAsia"/>
          <w:sz w:val="32"/>
          <w:szCs w:val="32"/>
        </w:rPr>
        <w:t>12053.26</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sidR="00BF6EC4">
        <w:rPr>
          <w:rFonts w:ascii="仿宋" w:eastAsia="仿宋" w:hAnsi="仿宋" w:hint="eastAsia"/>
          <w:sz w:val="32"/>
          <w:szCs w:val="32"/>
        </w:rPr>
        <w:t>585.35</w:t>
      </w:r>
      <w:r>
        <w:rPr>
          <w:rFonts w:ascii="仿宋" w:eastAsia="仿宋" w:hAnsi="仿宋" w:hint="eastAsia"/>
          <w:sz w:val="32"/>
          <w:szCs w:val="32"/>
        </w:rPr>
        <w:t>万元，下降</w:t>
      </w:r>
      <w:r w:rsidR="00BF6EC4">
        <w:rPr>
          <w:rFonts w:ascii="仿宋" w:eastAsia="仿宋" w:hAnsi="仿宋" w:hint="eastAsia"/>
          <w:sz w:val="32"/>
          <w:szCs w:val="32"/>
        </w:rPr>
        <w:t>4.63</w:t>
      </w:r>
      <w:r>
        <w:rPr>
          <w:rFonts w:ascii="仿宋" w:eastAsia="仿宋" w:hAnsi="仿宋"/>
          <w:sz w:val="32"/>
          <w:szCs w:val="32"/>
        </w:rPr>
        <w:t>%</w:t>
      </w:r>
      <w:r>
        <w:rPr>
          <w:rFonts w:ascii="仿宋" w:eastAsia="仿宋" w:hAnsi="仿宋" w:hint="eastAsia"/>
          <w:sz w:val="32"/>
          <w:szCs w:val="32"/>
        </w:rPr>
        <w:t>。主要变动原因是</w:t>
      </w:r>
      <w:r w:rsidR="009B0834">
        <w:rPr>
          <w:rFonts w:ascii="仿宋" w:eastAsia="仿宋" w:hAnsi="仿宋" w:hint="eastAsia"/>
          <w:sz w:val="32"/>
          <w:szCs w:val="32"/>
        </w:rPr>
        <w:t>项目支出减少。</w:t>
      </w:r>
    </w:p>
    <w:p w:rsidR="00BF6EC4" w:rsidRPr="00BF6EC4" w:rsidRDefault="00BF6EC4" w:rsidP="00BF6EC4">
      <w:pPr>
        <w:pStyle w:val="a0"/>
        <w:spacing w:before="93"/>
      </w:pPr>
      <w:r>
        <w:rPr>
          <w:noProof/>
        </w:rPr>
        <w:drawing>
          <wp:inline distT="0" distB="0" distL="0" distR="0">
            <wp:extent cx="5066030" cy="1566545"/>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6030" cy="1566545"/>
                    </a:xfrm>
                    <a:prstGeom prst="rect">
                      <a:avLst/>
                    </a:prstGeom>
                    <a:noFill/>
                  </pic:spPr>
                </pic:pic>
              </a:graphicData>
            </a:graphic>
          </wp:inline>
        </w:drawing>
      </w:r>
    </w:p>
    <w:p w:rsidR="00FB7B1A" w:rsidRDefault="00A57848">
      <w:pPr>
        <w:spacing w:line="600" w:lineRule="exact"/>
        <w:ind w:firstLineChars="200" w:firstLine="640"/>
        <w:rPr>
          <w:rFonts w:ascii="仿宋" w:eastAsia="仿宋" w:hAnsi="仿宋"/>
          <w:sz w:val="32"/>
          <w:szCs w:val="32"/>
        </w:rPr>
      </w:pPr>
      <w:r w:rsidRPr="003B6FB4">
        <w:rPr>
          <w:rFonts w:ascii="仿宋" w:eastAsia="仿宋" w:hAnsi="仿宋" w:hint="eastAsia"/>
          <w:sz w:val="32"/>
          <w:szCs w:val="32"/>
        </w:rPr>
        <w:t>（图4：财政拨款收、支决算总计变动情况）</w:t>
      </w:r>
    </w:p>
    <w:p w:rsidR="00FB7B1A" w:rsidRDefault="00FB7B1A">
      <w:pPr>
        <w:spacing w:line="600" w:lineRule="exact"/>
        <w:ind w:firstLine="640"/>
        <w:rPr>
          <w:rFonts w:ascii="仿宋" w:eastAsia="仿宋" w:hAnsi="仿宋"/>
          <w:b/>
          <w:sz w:val="32"/>
          <w:szCs w:val="32"/>
        </w:rPr>
      </w:pPr>
    </w:p>
    <w:p w:rsidR="00FB7B1A" w:rsidRDefault="00A57848">
      <w:pPr>
        <w:spacing w:line="600" w:lineRule="exact"/>
        <w:ind w:firstLineChars="200" w:firstLine="640"/>
        <w:outlineLvl w:val="1"/>
        <w:rPr>
          <w:rStyle w:val="2Char"/>
          <w:rFonts w:ascii="黑体" w:eastAsia="黑体" w:hAnsi="黑体"/>
          <w:b w:val="0"/>
        </w:rPr>
      </w:pPr>
      <w:bookmarkStart w:id="32" w:name="_Toc15396607"/>
      <w:bookmarkStart w:id="33" w:name="_Toc15377209"/>
      <w:bookmarkStart w:id="34" w:name="_Toc115080905"/>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2"/>
      <w:bookmarkEnd w:id="33"/>
      <w:bookmarkEnd w:id="34"/>
    </w:p>
    <w:p w:rsidR="00FB7B1A" w:rsidRDefault="00A57848">
      <w:pPr>
        <w:spacing w:line="600" w:lineRule="exact"/>
        <w:ind w:firstLineChars="200" w:firstLine="643"/>
        <w:outlineLvl w:val="2"/>
        <w:rPr>
          <w:rFonts w:ascii="仿宋" w:eastAsia="仿宋" w:hAnsi="仿宋"/>
          <w:b/>
          <w:sz w:val="32"/>
          <w:szCs w:val="32"/>
        </w:rPr>
      </w:pPr>
      <w:bookmarkStart w:id="35" w:name="_Toc15377210"/>
      <w:bookmarkStart w:id="36" w:name="_Toc115080906"/>
      <w:r>
        <w:rPr>
          <w:rFonts w:ascii="仿宋" w:eastAsia="仿宋" w:hAnsi="仿宋" w:hint="eastAsia"/>
          <w:b/>
          <w:sz w:val="32"/>
          <w:szCs w:val="32"/>
        </w:rPr>
        <w:t>（一）一般公共预算财政拨款支出决算总体情况</w:t>
      </w:r>
      <w:bookmarkEnd w:id="35"/>
      <w:bookmarkEnd w:id="36"/>
    </w:p>
    <w:p w:rsidR="00FB7B1A" w:rsidRDefault="00A57848" w:rsidP="003B6FB4">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BF6EC4">
        <w:rPr>
          <w:rFonts w:ascii="仿宋" w:eastAsia="仿宋" w:hAnsi="仿宋" w:hint="eastAsia"/>
          <w:sz w:val="32"/>
          <w:szCs w:val="32"/>
        </w:rPr>
        <w:t>12003.26</w:t>
      </w:r>
      <w:r>
        <w:rPr>
          <w:rFonts w:ascii="仿宋" w:eastAsia="仿宋" w:hAnsi="仿宋" w:hint="eastAsia"/>
          <w:sz w:val="32"/>
          <w:szCs w:val="32"/>
        </w:rPr>
        <w:t>万元，占本年支出合计的</w:t>
      </w:r>
      <w:r w:rsidR="0082059A">
        <w:rPr>
          <w:rFonts w:ascii="仿宋" w:eastAsia="仿宋" w:hAnsi="仿宋"/>
          <w:sz w:val="32"/>
          <w:szCs w:val="32"/>
        </w:rPr>
        <w:t>99.</w:t>
      </w:r>
      <w:r w:rsidR="00BF6EC4">
        <w:rPr>
          <w:rFonts w:ascii="仿宋" w:eastAsia="仿宋" w:hAnsi="仿宋" w:hint="eastAsia"/>
          <w:sz w:val="32"/>
          <w:szCs w:val="32"/>
        </w:rPr>
        <w:t>59</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w:t>
      </w:r>
      <w:r>
        <w:rPr>
          <w:rFonts w:ascii="仿宋" w:eastAsia="仿宋" w:hAnsi="仿宋" w:hint="eastAsia"/>
          <w:sz w:val="32"/>
          <w:szCs w:val="32"/>
        </w:rPr>
        <w:lastRenderedPageBreak/>
        <w:t>政拨款支出增加</w:t>
      </w:r>
      <w:r w:rsidR="00BF6EC4">
        <w:rPr>
          <w:rFonts w:ascii="仿宋" w:eastAsia="仿宋" w:hAnsi="仿宋" w:hint="eastAsia"/>
          <w:sz w:val="32"/>
          <w:szCs w:val="32"/>
        </w:rPr>
        <w:t>1687.14</w:t>
      </w:r>
      <w:r>
        <w:rPr>
          <w:rFonts w:ascii="仿宋" w:eastAsia="仿宋" w:hAnsi="仿宋" w:hint="eastAsia"/>
          <w:sz w:val="32"/>
          <w:szCs w:val="32"/>
        </w:rPr>
        <w:t>万元，增长</w:t>
      </w:r>
      <w:r w:rsidR="00BF6EC4">
        <w:rPr>
          <w:rFonts w:ascii="仿宋" w:eastAsia="仿宋" w:hAnsi="仿宋" w:hint="eastAsia"/>
          <w:sz w:val="32"/>
          <w:szCs w:val="32"/>
        </w:rPr>
        <w:t>16.35</w:t>
      </w:r>
      <w:r>
        <w:rPr>
          <w:rFonts w:ascii="仿宋" w:eastAsia="仿宋" w:hAnsi="仿宋"/>
          <w:sz w:val="32"/>
          <w:szCs w:val="32"/>
        </w:rPr>
        <w:t>%</w:t>
      </w:r>
      <w:r>
        <w:rPr>
          <w:rFonts w:ascii="仿宋" w:eastAsia="仿宋" w:hAnsi="仿宋" w:hint="eastAsia"/>
          <w:sz w:val="32"/>
          <w:szCs w:val="32"/>
        </w:rPr>
        <w:t>。主要变动原因是</w:t>
      </w:r>
      <w:r w:rsidR="00BF6EC4">
        <w:rPr>
          <w:rFonts w:ascii="仿宋" w:eastAsia="仿宋" w:hAnsi="仿宋" w:hint="eastAsia"/>
          <w:sz w:val="32"/>
          <w:szCs w:val="32"/>
        </w:rPr>
        <w:t>人员增加及生均公用经费增加</w:t>
      </w:r>
      <w:r w:rsidR="00DF4EB9">
        <w:rPr>
          <w:rFonts w:ascii="仿宋" w:eastAsia="仿宋" w:hAnsi="仿宋" w:hint="eastAsia"/>
          <w:sz w:val="32"/>
          <w:szCs w:val="32"/>
        </w:rPr>
        <w:t>。</w:t>
      </w:r>
    </w:p>
    <w:p w:rsidR="00BF6EC4" w:rsidRDefault="00BF6EC4" w:rsidP="00BF6EC4">
      <w:pPr>
        <w:pStyle w:val="a0"/>
        <w:spacing w:before="93"/>
      </w:pPr>
      <w:r>
        <w:rPr>
          <w:noProof/>
        </w:rPr>
        <w:drawing>
          <wp:inline distT="0" distB="0" distL="0" distR="0">
            <wp:extent cx="5005070" cy="2005965"/>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5070" cy="2005965"/>
                    </a:xfrm>
                    <a:prstGeom prst="rect">
                      <a:avLst/>
                    </a:prstGeom>
                    <a:noFill/>
                  </pic:spPr>
                </pic:pic>
              </a:graphicData>
            </a:graphic>
          </wp:inline>
        </w:drawing>
      </w:r>
    </w:p>
    <w:p w:rsidR="00FB7B1A" w:rsidRDefault="00A57848" w:rsidP="00BF6EC4">
      <w:pPr>
        <w:spacing w:line="600" w:lineRule="exact"/>
        <w:rPr>
          <w:rFonts w:ascii="仿宋" w:eastAsia="仿宋" w:hAnsi="仿宋"/>
          <w:sz w:val="32"/>
          <w:szCs w:val="32"/>
        </w:rPr>
      </w:pPr>
      <w:r>
        <w:rPr>
          <w:rFonts w:ascii="仿宋" w:eastAsia="仿宋" w:hAnsi="仿宋" w:hint="eastAsia"/>
          <w:sz w:val="32"/>
          <w:szCs w:val="32"/>
        </w:rPr>
        <w:t>（图5：一般公共预算财政拨款支出决算变动情况）</w:t>
      </w:r>
    </w:p>
    <w:p w:rsidR="00FB7B1A" w:rsidRDefault="00A57848">
      <w:pPr>
        <w:spacing w:line="600" w:lineRule="exact"/>
        <w:ind w:firstLineChars="200" w:firstLine="643"/>
        <w:outlineLvl w:val="2"/>
        <w:rPr>
          <w:rFonts w:ascii="仿宋" w:eastAsia="仿宋" w:hAnsi="仿宋"/>
          <w:b/>
          <w:sz w:val="32"/>
          <w:szCs w:val="32"/>
        </w:rPr>
      </w:pPr>
      <w:bookmarkStart w:id="37" w:name="_Toc15377211"/>
      <w:bookmarkStart w:id="38" w:name="_Toc115080907"/>
      <w:r>
        <w:rPr>
          <w:rFonts w:ascii="仿宋" w:eastAsia="仿宋" w:hAnsi="仿宋" w:hint="eastAsia"/>
          <w:b/>
          <w:sz w:val="32"/>
          <w:szCs w:val="32"/>
        </w:rPr>
        <w:t>（二）一般公共预算财政拨款支出决算结构情况</w:t>
      </w:r>
      <w:bookmarkEnd w:id="37"/>
      <w:bookmarkEnd w:id="38"/>
    </w:p>
    <w:p w:rsidR="00FB7B1A" w:rsidRPr="003B6FB4" w:rsidRDefault="003B6FB4" w:rsidP="003B6FB4">
      <w:pPr>
        <w:spacing w:line="600" w:lineRule="exact"/>
        <w:ind w:firstLine="640"/>
        <w:rPr>
          <w:rFonts w:ascii="仿宋" w:eastAsia="仿宋" w:hAnsi="仿宋"/>
          <w:b/>
          <w:sz w:val="32"/>
          <w:szCs w:val="32"/>
        </w:rPr>
      </w:pPr>
      <w:r w:rsidRPr="003B6FB4">
        <w:rPr>
          <w:rFonts w:ascii="仿宋" w:eastAsia="仿宋" w:hAnsi="仿宋"/>
          <w:noProof/>
          <w:sz w:val="32"/>
          <w:szCs w:val="32"/>
        </w:rPr>
        <w:drawing>
          <wp:anchor distT="0" distB="0" distL="114300" distR="114300" simplePos="0" relativeHeight="251662336" behindDoc="0" locked="0" layoutInCell="1" allowOverlap="1">
            <wp:simplePos x="0" y="0"/>
            <wp:positionH relativeFrom="column">
              <wp:posOffset>289560</wp:posOffset>
            </wp:positionH>
            <wp:positionV relativeFrom="paragraph">
              <wp:posOffset>1996440</wp:posOffset>
            </wp:positionV>
            <wp:extent cx="3589020" cy="1927860"/>
            <wp:effectExtent l="0" t="0" r="11430" b="1524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A57848">
        <w:rPr>
          <w:rFonts w:ascii="仿宋" w:eastAsia="仿宋" w:hAnsi="仿宋"/>
          <w:sz w:val="32"/>
          <w:szCs w:val="32"/>
        </w:rPr>
        <w:t>20</w:t>
      </w:r>
      <w:r w:rsidR="00A57848">
        <w:rPr>
          <w:rFonts w:ascii="仿宋" w:eastAsia="仿宋" w:hAnsi="仿宋" w:hint="eastAsia"/>
          <w:sz w:val="32"/>
          <w:szCs w:val="32"/>
        </w:rPr>
        <w:t>21年一般公共预算财政拨款支出</w:t>
      </w:r>
      <w:r w:rsidR="00BF6EC4">
        <w:rPr>
          <w:rFonts w:ascii="仿宋" w:eastAsia="仿宋" w:hAnsi="仿宋" w:hint="eastAsia"/>
          <w:sz w:val="32"/>
          <w:szCs w:val="32"/>
        </w:rPr>
        <w:t>12003.26</w:t>
      </w:r>
      <w:r w:rsidR="00A57848">
        <w:rPr>
          <w:rFonts w:ascii="仿宋" w:eastAsia="仿宋" w:hAnsi="仿宋" w:hint="eastAsia"/>
          <w:sz w:val="32"/>
          <w:szCs w:val="32"/>
        </w:rPr>
        <w:t>万元，主要用于以下方面</w:t>
      </w:r>
      <w:r w:rsidR="00A57848">
        <w:rPr>
          <w:rFonts w:ascii="仿宋" w:eastAsia="仿宋" w:hAnsi="仿宋"/>
          <w:sz w:val="32"/>
          <w:szCs w:val="32"/>
        </w:rPr>
        <w:t>:</w:t>
      </w:r>
      <w:r w:rsidR="00A57848">
        <w:rPr>
          <w:rFonts w:ascii="仿宋" w:eastAsia="仿宋" w:hAnsi="仿宋" w:hint="eastAsia"/>
          <w:b/>
          <w:sz w:val="32"/>
          <w:szCs w:val="32"/>
        </w:rPr>
        <w:t>教育支出（类）</w:t>
      </w:r>
      <w:r w:rsidR="00BF6EC4">
        <w:rPr>
          <w:rFonts w:ascii="仿宋" w:eastAsia="仿宋" w:hAnsi="仿宋" w:hint="eastAsia"/>
          <w:sz w:val="32"/>
          <w:szCs w:val="32"/>
        </w:rPr>
        <w:t>10449.73</w:t>
      </w:r>
      <w:r w:rsidR="00A57848">
        <w:rPr>
          <w:rFonts w:ascii="仿宋" w:eastAsia="仿宋" w:hAnsi="仿宋" w:hint="eastAsia"/>
          <w:sz w:val="32"/>
          <w:szCs w:val="32"/>
        </w:rPr>
        <w:t>万元，占</w:t>
      </w:r>
      <w:r w:rsidR="004050BD">
        <w:rPr>
          <w:rFonts w:ascii="仿宋" w:eastAsia="仿宋" w:hAnsi="仿宋"/>
          <w:sz w:val="32"/>
          <w:szCs w:val="32"/>
        </w:rPr>
        <w:t>8</w:t>
      </w:r>
      <w:r w:rsidR="00BF6EC4">
        <w:rPr>
          <w:rFonts w:ascii="仿宋" w:eastAsia="仿宋" w:hAnsi="仿宋" w:hint="eastAsia"/>
          <w:sz w:val="32"/>
          <w:szCs w:val="32"/>
        </w:rPr>
        <w:t>7.01</w:t>
      </w:r>
      <w:r w:rsidR="00A57848">
        <w:rPr>
          <w:rFonts w:ascii="仿宋" w:eastAsia="仿宋" w:hAnsi="仿宋"/>
          <w:sz w:val="32"/>
          <w:szCs w:val="32"/>
        </w:rPr>
        <w:t>%</w:t>
      </w:r>
      <w:r w:rsidR="00A57848">
        <w:rPr>
          <w:rFonts w:ascii="仿宋" w:eastAsia="仿宋" w:hAnsi="仿宋" w:hint="eastAsia"/>
          <w:sz w:val="32"/>
          <w:szCs w:val="32"/>
        </w:rPr>
        <w:t>；</w:t>
      </w:r>
      <w:r w:rsidR="00A57848">
        <w:rPr>
          <w:rFonts w:ascii="仿宋" w:eastAsia="仿宋" w:hAnsi="仿宋" w:hint="eastAsia"/>
          <w:b/>
          <w:sz w:val="32"/>
          <w:szCs w:val="32"/>
        </w:rPr>
        <w:t>社会保障和就业（类）</w:t>
      </w:r>
      <w:r w:rsidR="00A57848">
        <w:rPr>
          <w:rFonts w:ascii="仿宋" w:eastAsia="仿宋" w:hAnsi="仿宋" w:hint="eastAsia"/>
          <w:sz w:val="32"/>
          <w:szCs w:val="32"/>
        </w:rPr>
        <w:t>支出</w:t>
      </w:r>
      <w:r w:rsidR="00BF6EC4">
        <w:rPr>
          <w:rFonts w:ascii="仿宋" w:eastAsia="仿宋" w:hAnsi="仿宋" w:hint="eastAsia"/>
          <w:sz w:val="32"/>
          <w:szCs w:val="32"/>
        </w:rPr>
        <w:t>919.05</w:t>
      </w:r>
      <w:r w:rsidR="00A57848">
        <w:rPr>
          <w:rFonts w:ascii="仿宋" w:eastAsia="仿宋" w:hAnsi="仿宋" w:hint="eastAsia"/>
          <w:sz w:val="32"/>
          <w:szCs w:val="32"/>
        </w:rPr>
        <w:t>万元，占</w:t>
      </w:r>
      <w:r w:rsidR="00457AEA">
        <w:rPr>
          <w:rFonts w:ascii="仿宋" w:eastAsia="仿宋" w:hAnsi="仿宋" w:hint="eastAsia"/>
          <w:sz w:val="32"/>
          <w:szCs w:val="32"/>
        </w:rPr>
        <w:t>7.68</w:t>
      </w:r>
      <w:r w:rsidR="00A57848">
        <w:rPr>
          <w:rFonts w:ascii="仿宋" w:eastAsia="仿宋" w:hAnsi="仿宋"/>
          <w:sz w:val="32"/>
          <w:szCs w:val="32"/>
        </w:rPr>
        <w:t>%</w:t>
      </w:r>
      <w:r w:rsidR="00A57848">
        <w:rPr>
          <w:rFonts w:ascii="仿宋" w:eastAsia="仿宋" w:hAnsi="仿宋" w:hint="eastAsia"/>
          <w:sz w:val="32"/>
          <w:szCs w:val="32"/>
        </w:rPr>
        <w:t>；</w:t>
      </w:r>
      <w:r w:rsidR="00A57848">
        <w:rPr>
          <w:rFonts w:ascii="仿宋" w:eastAsia="仿宋" w:hAnsi="仿宋" w:hint="eastAsia"/>
          <w:b/>
          <w:bCs/>
          <w:sz w:val="32"/>
          <w:szCs w:val="32"/>
        </w:rPr>
        <w:t>卫生健康支出</w:t>
      </w:r>
      <w:r w:rsidR="00DF4EB9">
        <w:rPr>
          <w:rFonts w:ascii="仿宋" w:eastAsia="仿宋" w:hAnsi="仿宋"/>
          <w:sz w:val="32"/>
          <w:szCs w:val="32"/>
        </w:rPr>
        <w:t>330.83</w:t>
      </w:r>
      <w:r w:rsidR="00A57848">
        <w:rPr>
          <w:rFonts w:ascii="仿宋" w:eastAsia="仿宋" w:hAnsi="仿宋" w:hint="eastAsia"/>
          <w:sz w:val="32"/>
          <w:szCs w:val="32"/>
        </w:rPr>
        <w:t>万元，占</w:t>
      </w:r>
      <w:r w:rsidR="00457AEA">
        <w:rPr>
          <w:rFonts w:ascii="仿宋" w:eastAsia="仿宋" w:hAnsi="仿宋" w:hint="eastAsia"/>
          <w:sz w:val="32"/>
          <w:szCs w:val="32"/>
        </w:rPr>
        <w:t>3.03</w:t>
      </w:r>
      <w:r w:rsidR="00A57848">
        <w:rPr>
          <w:rFonts w:ascii="仿宋" w:eastAsia="仿宋" w:hAnsi="仿宋"/>
          <w:sz w:val="32"/>
          <w:szCs w:val="32"/>
        </w:rPr>
        <w:t>%</w:t>
      </w:r>
      <w:r w:rsidR="00A57848">
        <w:rPr>
          <w:rFonts w:ascii="仿宋" w:eastAsia="仿宋" w:hAnsi="仿宋" w:hint="eastAsia"/>
          <w:sz w:val="32"/>
          <w:szCs w:val="32"/>
        </w:rPr>
        <w:t>；住房保障支出</w:t>
      </w:r>
      <w:r w:rsidR="00457AEA">
        <w:rPr>
          <w:rFonts w:ascii="仿宋" w:eastAsia="仿宋" w:hAnsi="仿宋" w:hint="eastAsia"/>
          <w:sz w:val="32"/>
          <w:szCs w:val="32"/>
        </w:rPr>
        <w:t>272</w:t>
      </w:r>
      <w:r w:rsidR="00A57848">
        <w:rPr>
          <w:rFonts w:ascii="仿宋" w:eastAsia="仿宋" w:hAnsi="仿宋" w:hint="eastAsia"/>
          <w:sz w:val="32"/>
          <w:szCs w:val="32"/>
        </w:rPr>
        <w:t>万元，占</w:t>
      </w:r>
      <w:r w:rsidR="00457AEA">
        <w:rPr>
          <w:rFonts w:ascii="仿宋" w:eastAsia="仿宋" w:hAnsi="仿宋" w:hint="eastAsia"/>
          <w:sz w:val="32"/>
          <w:szCs w:val="32"/>
        </w:rPr>
        <w:t>2.28</w:t>
      </w:r>
      <w:r w:rsidR="00A57848">
        <w:rPr>
          <w:rFonts w:ascii="仿宋" w:eastAsia="仿宋" w:hAnsi="仿宋"/>
          <w:sz w:val="32"/>
          <w:szCs w:val="32"/>
        </w:rPr>
        <w:t>%</w:t>
      </w:r>
      <w:r w:rsidR="00457AEA">
        <w:rPr>
          <w:rFonts w:ascii="仿宋" w:eastAsia="仿宋" w:hAnsi="仿宋" w:hint="eastAsia"/>
          <w:sz w:val="32"/>
          <w:szCs w:val="32"/>
        </w:rPr>
        <w:t>。</w:t>
      </w:r>
      <w:r w:rsidR="00457AEA" w:rsidRPr="003B6FB4">
        <w:rPr>
          <w:rFonts w:ascii="仿宋" w:eastAsia="仿宋" w:hAnsi="仿宋"/>
          <w:b/>
          <w:sz w:val="32"/>
          <w:szCs w:val="32"/>
        </w:rPr>
        <w:t xml:space="preserve"> </w:t>
      </w:r>
    </w:p>
    <w:p w:rsidR="00FB7B1A" w:rsidRDefault="00A57848">
      <w:pPr>
        <w:spacing w:line="600" w:lineRule="exact"/>
        <w:ind w:firstLineChars="200" w:firstLine="640"/>
        <w:rPr>
          <w:rFonts w:ascii="仿宋" w:eastAsia="仿宋" w:hAnsi="仿宋"/>
          <w:sz w:val="32"/>
          <w:szCs w:val="32"/>
        </w:rPr>
      </w:pPr>
      <w:r w:rsidRPr="003B6FB4">
        <w:rPr>
          <w:rFonts w:ascii="仿宋" w:eastAsia="仿宋" w:hAnsi="仿宋" w:hint="eastAsia"/>
          <w:sz w:val="32"/>
          <w:szCs w:val="32"/>
        </w:rPr>
        <w:t>（图6：一般公共预算财政拨款支出决算结构）</w:t>
      </w:r>
    </w:p>
    <w:p w:rsidR="00FB7B1A" w:rsidRDefault="00A57848">
      <w:pPr>
        <w:spacing w:line="600" w:lineRule="exact"/>
        <w:ind w:firstLineChars="200" w:firstLine="643"/>
        <w:outlineLvl w:val="2"/>
        <w:rPr>
          <w:rFonts w:ascii="仿宋" w:eastAsia="仿宋" w:hAnsi="仿宋"/>
          <w:b/>
          <w:sz w:val="32"/>
          <w:szCs w:val="32"/>
        </w:rPr>
      </w:pPr>
      <w:bookmarkStart w:id="39" w:name="_Toc15377212"/>
      <w:bookmarkStart w:id="40" w:name="_Toc115080908"/>
      <w:r>
        <w:rPr>
          <w:rFonts w:ascii="仿宋" w:eastAsia="仿宋" w:hAnsi="仿宋" w:hint="eastAsia"/>
          <w:b/>
          <w:sz w:val="32"/>
          <w:szCs w:val="32"/>
        </w:rPr>
        <w:t>（三）一般公共预算财政拨款支出决算具体情况</w:t>
      </w:r>
      <w:bookmarkEnd w:id="39"/>
      <w:bookmarkEnd w:id="40"/>
    </w:p>
    <w:p w:rsidR="004050BD" w:rsidRPr="00457AEA" w:rsidRDefault="00A57848" w:rsidP="0083725B">
      <w:pPr>
        <w:spacing w:line="600" w:lineRule="exact"/>
        <w:ind w:firstLineChars="200" w:firstLine="643"/>
        <w:rPr>
          <w:rStyle w:val="a7"/>
          <w:rFonts w:ascii="仿宋" w:eastAsia="仿宋" w:hAnsi="仿宋"/>
          <w:bCs/>
          <w:color w:val="000000" w:themeColor="text1"/>
          <w:sz w:val="32"/>
          <w:szCs w:val="32"/>
        </w:rPr>
      </w:pPr>
      <w:bookmarkStart w:id="41" w:name="_Toc15378460"/>
      <w:bookmarkStart w:id="42" w:name="_Toc15377213"/>
      <w:bookmarkStart w:id="43" w:name="_Toc15377444"/>
      <w:r>
        <w:rPr>
          <w:rFonts w:ascii="仿宋" w:eastAsia="仿宋" w:hAnsi="仿宋" w:hint="eastAsia"/>
          <w:b/>
          <w:sz w:val="32"/>
          <w:szCs w:val="32"/>
        </w:rPr>
        <w:t>2021年一般公共预算支出决算数为</w:t>
      </w:r>
      <w:r w:rsidR="00457AEA">
        <w:rPr>
          <w:rFonts w:ascii="仿宋" w:eastAsia="仿宋" w:hAnsi="仿宋" w:hint="eastAsia"/>
          <w:sz w:val="32"/>
          <w:szCs w:val="32"/>
        </w:rPr>
        <w:t>12003.26</w:t>
      </w:r>
      <w:r w:rsidR="004050BD">
        <w:rPr>
          <w:rFonts w:ascii="仿宋" w:eastAsia="仿宋" w:hAnsi="仿宋" w:hint="eastAsia"/>
          <w:sz w:val="32"/>
          <w:szCs w:val="32"/>
        </w:rPr>
        <w:t>万元</w:t>
      </w:r>
      <w:r>
        <w:rPr>
          <w:rFonts w:ascii="仿宋" w:eastAsia="仿宋" w:hAnsi="仿宋" w:hint="eastAsia"/>
          <w:sz w:val="32"/>
          <w:szCs w:val="32"/>
        </w:rPr>
        <w:t>，</w:t>
      </w:r>
      <w:r>
        <w:rPr>
          <w:rStyle w:val="a7"/>
          <w:rFonts w:ascii="仿宋" w:eastAsia="仿宋" w:hAnsi="仿宋" w:hint="eastAsia"/>
          <w:bCs/>
          <w:sz w:val="32"/>
          <w:szCs w:val="32"/>
        </w:rPr>
        <w:t>完</w:t>
      </w:r>
      <w:r>
        <w:rPr>
          <w:rStyle w:val="a7"/>
          <w:rFonts w:ascii="仿宋" w:eastAsia="仿宋" w:hAnsi="仿宋" w:hint="eastAsia"/>
          <w:bCs/>
          <w:sz w:val="32"/>
          <w:szCs w:val="32"/>
        </w:rPr>
        <w:lastRenderedPageBreak/>
        <w:t>成预算</w:t>
      </w:r>
      <w:r w:rsidR="004050BD" w:rsidRPr="00457AEA">
        <w:rPr>
          <w:rStyle w:val="a7"/>
          <w:rFonts w:ascii="仿宋" w:eastAsia="仿宋" w:hAnsi="仿宋"/>
          <w:bCs/>
          <w:color w:val="000000" w:themeColor="text1"/>
          <w:sz w:val="32"/>
          <w:szCs w:val="32"/>
        </w:rPr>
        <w:t>100</w:t>
      </w:r>
      <w:r w:rsidRPr="00457AEA">
        <w:rPr>
          <w:rStyle w:val="a7"/>
          <w:rFonts w:ascii="仿宋" w:eastAsia="仿宋" w:hAnsi="仿宋"/>
          <w:bCs/>
          <w:color w:val="000000" w:themeColor="text1"/>
          <w:sz w:val="32"/>
          <w:szCs w:val="32"/>
        </w:rPr>
        <w:t>%</w:t>
      </w:r>
      <w:r w:rsidRPr="00457AEA">
        <w:rPr>
          <w:rStyle w:val="a7"/>
          <w:rFonts w:ascii="仿宋" w:eastAsia="仿宋" w:hAnsi="仿宋" w:hint="eastAsia"/>
          <w:bCs/>
          <w:color w:val="000000" w:themeColor="text1"/>
          <w:sz w:val="32"/>
          <w:szCs w:val="32"/>
        </w:rPr>
        <w:t>。其中：</w:t>
      </w:r>
      <w:bookmarkEnd w:id="41"/>
      <w:bookmarkEnd w:id="42"/>
      <w:bookmarkEnd w:id="43"/>
    </w:p>
    <w:p w:rsidR="0083725B" w:rsidRPr="00457AEA" w:rsidRDefault="0083725B" w:rsidP="004050BD">
      <w:pPr>
        <w:spacing w:line="600" w:lineRule="exact"/>
        <w:ind w:firstLineChars="200" w:firstLine="643"/>
        <w:rPr>
          <w:rFonts w:ascii="仿宋" w:eastAsia="仿宋" w:hAnsi="仿宋"/>
          <w:bCs/>
          <w:color w:val="000000" w:themeColor="text1"/>
          <w:sz w:val="32"/>
          <w:szCs w:val="32"/>
        </w:rPr>
      </w:pPr>
      <w:r w:rsidRPr="00457AEA">
        <w:rPr>
          <w:rStyle w:val="a7"/>
          <w:rFonts w:ascii="仿宋" w:eastAsia="仿宋" w:hAnsi="仿宋" w:hint="eastAsia"/>
          <w:bCs/>
          <w:color w:val="000000" w:themeColor="text1"/>
          <w:sz w:val="32"/>
          <w:szCs w:val="32"/>
        </w:rPr>
        <w:t>1</w:t>
      </w:r>
      <w:r w:rsidRPr="00457AEA">
        <w:rPr>
          <w:rStyle w:val="a7"/>
          <w:rFonts w:ascii="仿宋" w:eastAsia="仿宋" w:hAnsi="仿宋"/>
          <w:bCs/>
          <w:color w:val="000000" w:themeColor="text1"/>
          <w:sz w:val="32"/>
          <w:szCs w:val="32"/>
        </w:rPr>
        <w:t>.</w:t>
      </w:r>
      <w:r w:rsidRPr="00457AEA">
        <w:rPr>
          <w:rStyle w:val="a7"/>
          <w:rFonts w:ascii="仿宋" w:eastAsia="仿宋" w:hAnsi="仿宋" w:hint="eastAsia"/>
          <w:bCs/>
          <w:color w:val="000000" w:themeColor="text1"/>
          <w:sz w:val="32"/>
          <w:szCs w:val="32"/>
        </w:rPr>
        <w:t>205教育（类）</w:t>
      </w:r>
      <w:r w:rsidR="00457AEA" w:rsidRPr="00457AEA">
        <w:rPr>
          <w:rStyle w:val="a7"/>
          <w:rFonts w:ascii="仿宋" w:eastAsia="仿宋" w:hAnsi="仿宋" w:hint="eastAsia"/>
          <w:bCs/>
          <w:color w:val="000000" w:themeColor="text1"/>
          <w:sz w:val="32"/>
          <w:szCs w:val="32"/>
        </w:rPr>
        <w:t>03职业</w:t>
      </w:r>
      <w:r w:rsidRPr="00457AEA">
        <w:rPr>
          <w:rStyle w:val="a7"/>
          <w:rFonts w:ascii="仿宋" w:eastAsia="仿宋" w:hAnsi="仿宋" w:hint="eastAsia"/>
          <w:bCs/>
          <w:color w:val="000000" w:themeColor="text1"/>
          <w:sz w:val="32"/>
          <w:szCs w:val="32"/>
        </w:rPr>
        <w:t>教育（款）</w:t>
      </w:r>
      <w:r w:rsidR="00457AEA" w:rsidRPr="00457AEA">
        <w:rPr>
          <w:rStyle w:val="a7"/>
          <w:rFonts w:ascii="仿宋" w:eastAsia="仿宋" w:hAnsi="仿宋" w:hint="eastAsia"/>
          <w:bCs/>
          <w:color w:val="000000" w:themeColor="text1"/>
          <w:sz w:val="32"/>
          <w:szCs w:val="32"/>
        </w:rPr>
        <w:t>02中等职业</w:t>
      </w:r>
      <w:r w:rsidRPr="00457AEA">
        <w:rPr>
          <w:rStyle w:val="a7"/>
          <w:rFonts w:ascii="仿宋" w:eastAsia="仿宋" w:hAnsi="仿宋" w:hint="eastAsia"/>
          <w:bCs/>
          <w:color w:val="000000" w:themeColor="text1"/>
          <w:sz w:val="32"/>
          <w:szCs w:val="32"/>
        </w:rPr>
        <w:t>教育（项）</w:t>
      </w:r>
      <w:r w:rsidRPr="00457AEA">
        <w:rPr>
          <w:rStyle w:val="a7"/>
          <w:rFonts w:ascii="仿宋" w:eastAsia="仿宋" w:hAnsi="仿宋"/>
          <w:bCs/>
          <w:color w:val="000000" w:themeColor="text1"/>
          <w:sz w:val="32"/>
          <w:szCs w:val="32"/>
        </w:rPr>
        <w:t>:</w:t>
      </w:r>
      <w:r w:rsidRPr="00457AEA">
        <w:rPr>
          <w:rStyle w:val="a7"/>
          <w:rFonts w:ascii="仿宋" w:eastAsia="仿宋" w:hAnsi="仿宋"/>
          <w:b w:val="0"/>
          <w:bCs/>
          <w:color w:val="000000" w:themeColor="text1"/>
          <w:sz w:val="32"/>
          <w:szCs w:val="32"/>
        </w:rPr>
        <w:t xml:space="preserve"> </w:t>
      </w:r>
      <w:r w:rsidRPr="00457AEA">
        <w:rPr>
          <w:rStyle w:val="a7"/>
          <w:rFonts w:ascii="仿宋" w:eastAsia="仿宋" w:hAnsi="仿宋" w:hint="eastAsia"/>
          <w:b w:val="0"/>
          <w:bCs/>
          <w:color w:val="000000" w:themeColor="text1"/>
          <w:sz w:val="32"/>
          <w:szCs w:val="32"/>
        </w:rPr>
        <w:t>支出决算为</w:t>
      </w:r>
      <w:r w:rsidR="00457AEA" w:rsidRPr="00457AEA">
        <w:rPr>
          <w:rFonts w:ascii="仿宋" w:eastAsia="仿宋" w:hAnsi="仿宋" w:hint="eastAsia"/>
          <w:color w:val="000000" w:themeColor="text1"/>
          <w:sz w:val="32"/>
          <w:szCs w:val="32"/>
        </w:rPr>
        <w:t>9644.51</w:t>
      </w:r>
      <w:r w:rsidR="004050BD" w:rsidRPr="00457AEA">
        <w:rPr>
          <w:rFonts w:ascii="仿宋" w:eastAsia="仿宋" w:hAnsi="仿宋" w:hint="eastAsia"/>
          <w:color w:val="000000" w:themeColor="text1"/>
          <w:sz w:val="32"/>
          <w:szCs w:val="32"/>
        </w:rPr>
        <w:t>万元</w:t>
      </w:r>
      <w:r w:rsidRPr="00457AEA">
        <w:rPr>
          <w:rStyle w:val="a7"/>
          <w:rFonts w:ascii="仿宋" w:eastAsia="仿宋" w:hAnsi="仿宋" w:hint="eastAsia"/>
          <w:b w:val="0"/>
          <w:bCs/>
          <w:color w:val="000000" w:themeColor="text1"/>
          <w:sz w:val="32"/>
          <w:szCs w:val="32"/>
        </w:rPr>
        <w:t>，完成预算1</w:t>
      </w:r>
      <w:r w:rsidR="004050BD" w:rsidRPr="00457AEA">
        <w:rPr>
          <w:rStyle w:val="a7"/>
          <w:rFonts w:ascii="仿宋" w:eastAsia="仿宋" w:hAnsi="仿宋"/>
          <w:b w:val="0"/>
          <w:bCs/>
          <w:color w:val="000000" w:themeColor="text1"/>
          <w:sz w:val="32"/>
          <w:szCs w:val="32"/>
        </w:rPr>
        <w:t>00</w:t>
      </w:r>
      <w:r w:rsidRPr="00457AEA">
        <w:rPr>
          <w:rStyle w:val="a7"/>
          <w:rFonts w:ascii="仿宋" w:eastAsia="仿宋" w:hAnsi="仿宋"/>
          <w:b w:val="0"/>
          <w:bCs/>
          <w:color w:val="000000" w:themeColor="text1"/>
          <w:sz w:val="32"/>
          <w:szCs w:val="32"/>
        </w:rPr>
        <w:t>%</w:t>
      </w:r>
      <w:r w:rsidRPr="00457AEA">
        <w:rPr>
          <w:rStyle w:val="a7"/>
          <w:rFonts w:ascii="仿宋" w:eastAsia="仿宋" w:hAnsi="仿宋" w:hint="eastAsia"/>
          <w:b w:val="0"/>
          <w:bCs/>
          <w:color w:val="000000" w:themeColor="text1"/>
          <w:sz w:val="32"/>
          <w:szCs w:val="32"/>
        </w:rPr>
        <w:t>。</w:t>
      </w:r>
    </w:p>
    <w:p w:rsidR="005E22CD" w:rsidRDefault="005E22CD" w:rsidP="005E22CD">
      <w:pPr>
        <w:spacing w:line="600" w:lineRule="exact"/>
        <w:ind w:firstLineChars="200" w:firstLine="643"/>
        <w:rPr>
          <w:rStyle w:val="a7"/>
          <w:rFonts w:ascii="仿宋" w:eastAsia="仿宋" w:hAnsi="仿宋"/>
          <w:b w:val="0"/>
          <w:bCs/>
          <w:color w:val="000000" w:themeColor="text1"/>
          <w:sz w:val="32"/>
          <w:szCs w:val="32"/>
        </w:rPr>
      </w:pPr>
      <w:r>
        <w:rPr>
          <w:rStyle w:val="a7"/>
          <w:rFonts w:ascii="仿宋" w:eastAsia="仿宋" w:hAnsi="仿宋" w:hint="eastAsia"/>
          <w:bCs/>
          <w:color w:val="000000" w:themeColor="text1"/>
          <w:sz w:val="32"/>
          <w:szCs w:val="32"/>
        </w:rPr>
        <w:t>2</w:t>
      </w:r>
      <w:r w:rsidRPr="00457AEA">
        <w:rPr>
          <w:rStyle w:val="a7"/>
          <w:rFonts w:ascii="仿宋" w:eastAsia="仿宋" w:hAnsi="仿宋"/>
          <w:bCs/>
          <w:color w:val="000000" w:themeColor="text1"/>
          <w:sz w:val="32"/>
          <w:szCs w:val="32"/>
        </w:rPr>
        <w:t>.</w:t>
      </w:r>
      <w:r w:rsidRPr="00457AEA">
        <w:rPr>
          <w:rStyle w:val="a7"/>
          <w:rFonts w:ascii="仿宋" w:eastAsia="仿宋" w:hAnsi="仿宋" w:hint="eastAsia"/>
          <w:bCs/>
          <w:color w:val="000000" w:themeColor="text1"/>
          <w:sz w:val="32"/>
          <w:szCs w:val="32"/>
        </w:rPr>
        <w:t>205教育（类）03职业教育（款）0</w:t>
      </w:r>
      <w:r>
        <w:rPr>
          <w:rStyle w:val="a7"/>
          <w:rFonts w:ascii="仿宋" w:eastAsia="仿宋" w:hAnsi="仿宋" w:hint="eastAsia"/>
          <w:bCs/>
          <w:color w:val="000000" w:themeColor="text1"/>
          <w:sz w:val="32"/>
          <w:szCs w:val="32"/>
        </w:rPr>
        <w:t>5高</w:t>
      </w:r>
      <w:r w:rsidRPr="00457AEA">
        <w:rPr>
          <w:rStyle w:val="a7"/>
          <w:rFonts w:ascii="仿宋" w:eastAsia="仿宋" w:hAnsi="仿宋" w:hint="eastAsia"/>
          <w:bCs/>
          <w:color w:val="000000" w:themeColor="text1"/>
          <w:sz w:val="32"/>
          <w:szCs w:val="32"/>
        </w:rPr>
        <w:t>等职业教育（项）</w:t>
      </w:r>
      <w:r w:rsidRPr="00457AEA">
        <w:rPr>
          <w:rStyle w:val="a7"/>
          <w:rFonts w:ascii="仿宋" w:eastAsia="仿宋" w:hAnsi="仿宋"/>
          <w:bCs/>
          <w:color w:val="000000" w:themeColor="text1"/>
          <w:sz w:val="32"/>
          <w:szCs w:val="32"/>
        </w:rPr>
        <w:t>:</w:t>
      </w:r>
      <w:r w:rsidRPr="00457AEA">
        <w:rPr>
          <w:rStyle w:val="a7"/>
          <w:rFonts w:ascii="仿宋" w:eastAsia="仿宋" w:hAnsi="仿宋"/>
          <w:b w:val="0"/>
          <w:bCs/>
          <w:color w:val="000000" w:themeColor="text1"/>
          <w:sz w:val="32"/>
          <w:szCs w:val="32"/>
        </w:rPr>
        <w:t xml:space="preserve"> </w:t>
      </w:r>
      <w:r w:rsidRPr="00457AEA">
        <w:rPr>
          <w:rStyle w:val="a7"/>
          <w:rFonts w:ascii="仿宋" w:eastAsia="仿宋" w:hAnsi="仿宋" w:hint="eastAsia"/>
          <w:b w:val="0"/>
          <w:bCs/>
          <w:color w:val="000000" w:themeColor="text1"/>
          <w:sz w:val="32"/>
          <w:szCs w:val="32"/>
        </w:rPr>
        <w:t>支出决算为</w:t>
      </w:r>
      <w:r>
        <w:rPr>
          <w:rFonts w:ascii="仿宋" w:eastAsia="仿宋" w:hAnsi="仿宋" w:hint="eastAsia"/>
          <w:color w:val="000000" w:themeColor="text1"/>
          <w:sz w:val="32"/>
          <w:szCs w:val="32"/>
        </w:rPr>
        <w:t>744.03</w:t>
      </w:r>
      <w:r w:rsidRPr="00457AEA">
        <w:rPr>
          <w:rFonts w:ascii="仿宋" w:eastAsia="仿宋" w:hAnsi="仿宋" w:hint="eastAsia"/>
          <w:color w:val="000000" w:themeColor="text1"/>
          <w:sz w:val="32"/>
          <w:szCs w:val="32"/>
        </w:rPr>
        <w:t>万元</w:t>
      </w:r>
      <w:r w:rsidRPr="00457AEA">
        <w:rPr>
          <w:rStyle w:val="a7"/>
          <w:rFonts w:ascii="仿宋" w:eastAsia="仿宋" w:hAnsi="仿宋" w:hint="eastAsia"/>
          <w:b w:val="0"/>
          <w:bCs/>
          <w:color w:val="000000" w:themeColor="text1"/>
          <w:sz w:val="32"/>
          <w:szCs w:val="32"/>
        </w:rPr>
        <w:t>，完成预算1</w:t>
      </w:r>
      <w:r w:rsidRPr="00457AEA">
        <w:rPr>
          <w:rStyle w:val="a7"/>
          <w:rFonts w:ascii="仿宋" w:eastAsia="仿宋" w:hAnsi="仿宋"/>
          <w:b w:val="0"/>
          <w:bCs/>
          <w:color w:val="000000" w:themeColor="text1"/>
          <w:sz w:val="32"/>
          <w:szCs w:val="32"/>
        </w:rPr>
        <w:t>00%</w:t>
      </w:r>
      <w:r w:rsidRPr="00457AEA">
        <w:rPr>
          <w:rStyle w:val="a7"/>
          <w:rFonts w:ascii="仿宋" w:eastAsia="仿宋" w:hAnsi="仿宋" w:hint="eastAsia"/>
          <w:b w:val="0"/>
          <w:bCs/>
          <w:color w:val="000000" w:themeColor="text1"/>
          <w:sz w:val="32"/>
          <w:szCs w:val="32"/>
        </w:rPr>
        <w:t>。</w:t>
      </w:r>
    </w:p>
    <w:p w:rsidR="005E22CD" w:rsidRPr="005E22CD" w:rsidRDefault="005E22CD" w:rsidP="005E22CD">
      <w:pPr>
        <w:spacing w:line="600" w:lineRule="exact"/>
        <w:ind w:firstLineChars="200" w:firstLine="643"/>
        <w:rPr>
          <w:rFonts w:ascii="仿宋" w:eastAsia="仿宋" w:hAnsi="仿宋"/>
          <w:bCs/>
          <w:color w:val="000000" w:themeColor="text1"/>
          <w:sz w:val="32"/>
          <w:szCs w:val="32"/>
        </w:rPr>
      </w:pPr>
      <w:r>
        <w:rPr>
          <w:rStyle w:val="a7"/>
          <w:rFonts w:ascii="仿宋" w:eastAsia="仿宋" w:hAnsi="仿宋" w:hint="eastAsia"/>
          <w:bCs/>
          <w:color w:val="000000" w:themeColor="text1"/>
          <w:sz w:val="32"/>
          <w:szCs w:val="32"/>
        </w:rPr>
        <w:t>3</w:t>
      </w:r>
      <w:r w:rsidRPr="00457AEA">
        <w:rPr>
          <w:rStyle w:val="a7"/>
          <w:rFonts w:ascii="仿宋" w:eastAsia="仿宋" w:hAnsi="仿宋"/>
          <w:bCs/>
          <w:color w:val="000000" w:themeColor="text1"/>
          <w:sz w:val="32"/>
          <w:szCs w:val="32"/>
        </w:rPr>
        <w:t>.</w:t>
      </w:r>
      <w:r w:rsidRPr="00457AEA">
        <w:rPr>
          <w:rStyle w:val="a7"/>
          <w:rFonts w:ascii="仿宋" w:eastAsia="仿宋" w:hAnsi="仿宋" w:hint="eastAsia"/>
          <w:bCs/>
          <w:color w:val="000000" w:themeColor="text1"/>
          <w:sz w:val="32"/>
          <w:szCs w:val="32"/>
        </w:rPr>
        <w:t>205教育（类）0</w:t>
      </w:r>
      <w:r>
        <w:rPr>
          <w:rStyle w:val="a7"/>
          <w:rFonts w:ascii="仿宋" w:eastAsia="仿宋" w:hAnsi="仿宋" w:hint="eastAsia"/>
          <w:bCs/>
          <w:color w:val="000000" w:themeColor="text1"/>
          <w:sz w:val="32"/>
          <w:szCs w:val="32"/>
        </w:rPr>
        <w:t>5广播电视</w:t>
      </w:r>
      <w:r w:rsidRPr="00457AEA">
        <w:rPr>
          <w:rStyle w:val="a7"/>
          <w:rFonts w:ascii="仿宋" w:eastAsia="仿宋" w:hAnsi="仿宋" w:hint="eastAsia"/>
          <w:bCs/>
          <w:color w:val="000000" w:themeColor="text1"/>
          <w:sz w:val="32"/>
          <w:szCs w:val="32"/>
        </w:rPr>
        <w:t>教育（款）0</w:t>
      </w:r>
      <w:r>
        <w:rPr>
          <w:rStyle w:val="a7"/>
          <w:rFonts w:ascii="仿宋" w:eastAsia="仿宋" w:hAnsi="仿宋" w:hint="eastAsia"/>
          <w:bCs/>
          <w:color w:val="000000" w:themeColor="text1"/>
          <w:sz w:val="32"/>
          <w:szCs w:val="32"/>
        </w:rPr>
        <w:t>5教育电视台</w:t>
      </w:r>
      <w:r w:rsidRPr="00457AEA">
        <w:rPr>
          <w:rStyle w:val="a7"/>
          <w:rFonts w:ascii="仿宋" w:eastAsia="仿宋" w:hAnsi="仿宋" w:hint="eastAsia"/>
          <w:bCs/>
          <w:color w:val="000000" w:themeColor="text1"/>
          <w:sz w:val="32"/>
          <w:szCs w:val="32"/>
        </w:rPr>
        <w:t>（项）</w:t>
      </w:r>
      <w:r w:rsidRPr="00457AEA">
        <w:rPr>
          <w:rStyle w:val="a7"/>
          <w:rFonts w:ascii="仿宋" w:eastAsia="仿宋" w:hAnsi="仿宋"/>
          <w:bCs/>
          <w:color w:val="000000" w:themeColor="text1"/>
          <w:sz w:val="32"/>
          <w:szCs w:val="32"/>
        </w:rPr>
        <w:t>:</w:t>
      </w:r>
      <w:r w:rsidRPr="00457AEA">
        <w:rPr>
          <w:rStyle w:val="a7"/>
          <w:rFonts w:ascii="仿宋" w:eastAsia="仿宋" w:hAnsi="仿宋"/>
          <w:b w:val="0"/>
          <w:bCs/>
          <w:color w:val="000000" w:themeColor="text1"/>
          <w:sz w:val="32"/>
          <w:szCs w:val="32"/>
        </w:rPr>
        <w:t xml:space="preserve"> </w:t>
      </w:r>
      <w:r w:rsidRPr="00457AEA">
        <w:rPr>
          <w:rStyle w:val="a7"/>
          <w:rFonts w:ascii="仿宋" w:eastAsia="仿宋" w:hAnsi="仿宋" w:hint="eastAsia"/>
          <w:b w:val="0"/>
          <w:bCs/>
          <w:color w:val="000000" w:themeColor="text1"/>
          <w:sz w:val="32"/>
          <w:szCs w:val="32"/>
        </w:rPr>
        <w:t>支出决算为</w:t>
      </w:r>
      <w:r>
        <w:rPr>
          <w:rFonts w:ascii="仿宋" w:eastAsia="仿宋" w:hAnsi="仿宋" w:hint="eastAsia"/>
          <w:color w:val="000000" w:themeColor="text1"/>
          <w:sz w:val="32"/>
          <w:szCs w:val="32"/>
        </w:rPr>
        <w:t>1.38</w:t>
      </w:r>
      <w:r w:rsidRPr="00457AEA">
        <w:rPr>
          <w:rFonts w:ascii="仿宋" w:eastAsia="仿宋" w:hAnsi="仿宋" w:hint="eastAsia"/>
          <w:color w:val="000000" w:themeColor="text1"/>
          <w:sz w:val="32"/>
          <w:szCs w:val="32"/>
        </w:rPr>
        <w:t>万元</w:t>
      </w:r>
      <w:r w:rsidRPr="00457AEA">
        <w:rPr>
          <w:rStyle w:val="a7"/>
          <w:rFonts w:ascii="仿宋" w:eastAsia="仿宋" w:hAnsi="仿宋" w:hint="eastAsia"/>
          <w:b w:val="0"/>
          <w:bCs/>
          <w:color w:val="000000" w:themeColor="text1"/>
          <w:sz w:val="32"/>
          <w:szCs w:val="32"/>
        </w:rPr>
        <w:t>，完成预算1</w:t>
      </w:r>
      <w:r w:rsidRPr="00457AEA">
        <w:rPr>
          <w:rStyle w:val="a7"/>
          <w:rFonts w:ascii="仿宋" w:eastAsia="仿宋" w:hAnsi="仿宋"/>
          <w:b w:val="0"/>
          <w:bCs/>
          <w:color w:val="000000" w:themeColor="text1"/>
          <w:sz w:val="32"/>
          <w:szCs w:val="32"/>
        </w:rPr>
        <w:t>00%</w:t>
      </w:r>
      <w:r w:rsidRPr="00457AEA">
        <w:rPr>
          <w:rStyle w:val="a7"/>
          <w:rFonts w:ascii="仿宋" w:eastAsia="仿宋" w:hAnsi="仿宋" w:hint="eastAsia"/>
          <w:b w:val="0"/>
          <w:bCs/>
          <w:color w:val="000000" w:themeColor="text1"/>
          <w:sz w:val="32"/>
          <w:szCs w:val="32"/>
        </w:rPr>
        <w:t>。</w:t>
      </w:r>
    </w:p>
    <w:p w:rsidR="005E22CD" w:rsidRPr="005E22CD" w:rsidRDefault="005E22CD" w:rsidP="005E22CD">
      <w:pPr>
        <w:spacing w:line="600" w:lineRule="exact"/>
        <w:ind w:firstLineChars="200" w:firstLine="643"/>
        <w:rPr>
          <w:rFonts w:ascii="仿宋" w:eastAsia="仿宋" w:hAnsi="仿宋"/>
          <w:bCs/>
          <w:color w:val="000000" w:themeColor="text1"/>
          <w:sz w:val="32"/>
          <w:szCs w:val="32"/>
        </w:rPr>
      </w:pPr>
      <w:r>
        <w:rPr>
          <w:rStyle w:val="a7"/>
          <w:rFonts w:ascii="仿宋" w:eastAsia="仿宋" w:hAnsi="仿宋" w:hint="eastAsia"/>
          <w:bCs/>
          <w:color w:val="000000" w:themeColor="text1"/>
          <w:sz w:val="32"/>
          <w:szCs w:val="32"/>
        </w:rPr>
        <w:t>4</w:t>
      </w:r>
      <w:r w:rsidRPr="00457AEA">
        <w:rPr>
          <w:rStyle w:val="a7"/>
          <w:rFonts w:ascii="仿宋" w:eastAsia="仿宋" w:hAnsi="仿宋"/>
          <w:bCs/>
          <w:color w:val="000000" w:themeColor="text1"/>
          <w:sz w:val="32"/>
          <w:szCs w:val="32"/>
        </w:rPr>
        <w:t>.</w:t>
      </w:r>
      <w:r w:rsidRPr="00457AEA">
        <w:rPr>
          <w:rStyle w:val="a7"/>
          <w:rFonts w:ascii="仿宋" w:eastAsia="仿宋" w:hAnsi="仿宋" w:hint="eastAsia"/>
          <w:bCs/>
          <w:color w:val="000000" w:themeColor="text1"/>
          <w:sz w:val="32"/>
          <w:szCs w:val="32"/>
        </w:rPr>
        <w:t>205教育（类）0</w:t>
      </w:r>
      <w:r>
        <w:rPr>
          <w:rStyle w:val="a7"/>
          <w:rFonts w:ascii="仿宋" w:eastAsia="仿宋" w:hAnsi="仿宋" w:hint="eastAsia"/>
          <w:bCs/>
          <w:color w:val="000000" w:themeColor="text1"/>
          <w:sz w:val="32"/>
          <w:szCs w:val="32"/>
        </w:rPr>
        <w:t>9教育费附加安排的支出</w:t>
      </w:r>
      <w:r w:rsidRPr="00457AEA">
        <w:rPr>
          <w:rStyle w:val="a7"/>
          <w:rFonts w:ascii="仿宋" w:eastAsia="仿宋" w:hAnsi="仿宋" w:hint="eastAsia"/>
          <w:bCs/>
          <w:color w:val="000000" w:themeColor="text1"/>
          <w:sz w:val="32"/>
          <w:szCs w:val="32"/>
        </w:rPr>
        <w:t>（款）</w:t>
      </w:r>
      <w:r>
        <w:rPr>
          <w:rStyle w:val="a7"/>
          <w:rFonts w:ascii="仿宋" w:eastAsia="仿宋" w:hAnsi="仿宋" w:hint="eastAsia"/>
          <w:bCs/>
          <w:color w:val="000000" w:themeColor="text1"/>
          <w:sz w:val="32"/>
          <w:szCs w:val="32"/>
        </w:rPr>
        <w:t>99其他教育费附加安排的支出</w:t>
      </w:r>
      <w:r w:rsidRPr="00457AEA">
        <w:rPr>
          <w:rStyle w:val="a7"/>
          <w:rFonts w:ascii="仿宋" w:eastAsia="仿宋" w:hAnsi="仿宋" w:hint="eastAsia"/>
          <w:bCs/>
          <w:color w:val="000000" w:themeColor="text1"/>
          <w:sz w:val="32"/>
          <w:szCs w:val="32"/>
        </w:rPr>
        <w:t>（项）</w:t>
      </w:r>
      <w:r w:rsidRPr="00457AEA">
        <w:rPr>
          <w:rStyle w:val="a7"/>
          <w:rFonts w:ascii="仿宋" w:eastAsia="仿宋" w:hAnsi="仿宋"/>
          <w:bCs/>
          <w:color w:val="000000" w:themeColor="text1"/>
          <w:sz w:val="32"/>
          <w:szCs w:val="32"/>
        </w:rPr>
        <w:t>:</w:t>
      </w:r>
      <w:r w:rsidRPr="00457AEA">
        <w:rPr>
          <w:rStyle w:val="a7"/>
          <w:rFonts w:ascii="仿宋" w:eastAsia="仿宋" w:hAnsi="仿宋"/>
          <w:b w:val="0"/>
          <w:bCs/>
          <w:color w:val="000000" w:themeColor="text1"/>
          <w:sz w:val="32"/>
          <w:szCs w:val="32"/>
        </w:rPr>
        <w:t xml:space="preserve"> </w:t>
      </w:r>
      <w:r w:rsidRPr="00457AEA">
        <w:rPr>
          <w:rStyle w:val="a7"/>
          <w:rFonts w:ascii="仿宋" w:eastAsia="仿宋" w:hAnsi="仿宋" w:hint="eastAsia"/>
          <w:b w:val="0"/>
          <w:bCs/>
          <w:color w:val="000000" w:themeColor="text1"/>
          <w:sz w:val="32"/>
          <w:szCs w:val="32"/>
        </w:rPr>
        <w:t>支出决算为</w:t>
      </w:r>
      <w:r>
        <w:rPr>
          <w:rFonts w:ascii="仿宋" w:eastAsia="仿宋" w:hAnsi="仿宋" w:hint="eastAsia"/>
          <w:color w:val="000000" w:themeColor="text1"/>
          <w:sz w:val="32"/>
          <w:szCs w:val="32"/>
        </w:rPr>
        <w:t>59.81</w:t>
      </w:r>
      <w:r w:rsidRPr="00457AEA">
        <w:rPr>
          <w:rFonts w:ascii="仿宋" w:eastAsia="仿宋" w:hAnsi="仿宋" w:hint="eastAsia"/>
          <w:color w:val="000000" w:themeColor="text1"/>
          <w:sz w:val="32"/>
          <w:szCs w:val="32"/>
        </w:rPr>
        <w:t>万元</w:t>
      </w:r>
      <w:r w:rsidRPr="00457AEA">
        <w:rPr>
          <w:rStyle w:val="a7"/>
          <w:rFonts w:ascii="仿宋" w:eastAsia="仿宋" w:hAnsi="仿宋" w:hint="eastAsia"/>
          <w:b w:val="0"/>
          <w:bCs/>
          <w:color w:val="000000" w:themeColor="text1"/>
          <w:sz w:val="32"/>
          <w:szCs w:val="32"/>
        </w:rPr>
        <w:t>，完成预算1</w:t>
      </w:r>
      <w:r w:rsidRPr="00457AEA">
        <w:rPr>
          <w:rStyle w:val="a7"/>
          <w:rFonts w:ascii="仿宋" w:eastAsia="仿宋" w:hAnsi="仿宋"/>
          <w:b w:val="0"/>
          <w:bCs/>
          <w:color w:val="000000" w:themeColor="text1"/>
          <w:sz w:val="32"/>
          <w:szCs w:val="32"/>
        </w:rPr>
        <w:t>00%</w:t>
      </w:r>
      <w:r w:rsidRPr="00457AEA">
        <w:rPr>
          <w:rStyle w:val="a7"/>
          <w:rFonts w:ascii="仿宋" w:eastAsia="仿宋" w:hAnsi="仿宋" w:hint="eastAsia"/>
          <w:b w:val="0"/>
          <w:bCs/>
          <w:color w:val="000000" w:themeColor="text1"/>
          <w:sz w:val="32"/>
          <w:szCs w:val="32"/>
        </w:rPr>
        <w:t>。</w:t>
      </w:r>
    </w:p>
    <w:p w:rsidR="0083725B" w:rsidRPr="005E22CD" w:rsidRDefault="005E22CD" w:rsidP="005E22CD">
      <w:pPr>
        <w:spacing w:line="600" w:lineRule="exact"/>
        <w:ind w:firstLineChars="200" w:firstLine="643"/>
        <w:rPr>
          <w:rFonts w:ascii="仿宋" w:eastAsia="仿宋" w:hAnsi="仿宋"/>
          <w:bCs/>
          <w:sz w:val="32"/>
          <w:szCs w:val="32"/>
        </w:rPr>
      </w:pPr>
      <w:r>
        <w:rPr>
          <w:rStyle w:val="a7"/>
          <w:rFonts w:ascii="仿宋" w:eastAsia="仿宋" w:hAnsi="仿宋" w:hint="eastAsia"/>
          <w:bCs/>
          <w:sz w:val="32"/>
          <w:szCs w:val="32"/>
        </w:rPr>
        <w:t>5</w:t>
      </w:r>
      <w:r w:rsidR="0083725B">
        <w:rPr>
          <w:rStyle w:val="a7"/>
          <w:rFonts w:ascii="仿宋" w:eastAsia="仿宋" w:hAnsi="仿宋" w:hint="eastAsia"/>
          <w:bCs/>
          <w:sz w:val="32"/>
          <w:szCs w:val="32"/>
        </w:rPr>
        <w:t>.208</w:t>
      </w:r>
      <w:r w:rsidR="0083725B">
        <w:rPr>
          <w:rStyle w:val="a7"/>
          <w:rFonts w:ascii="仿宋" w:eastAsia="仿宋" w:hAnsi="仿宋"/>
          <w:bCs/>
          <w:sz w:val="32"/>
          <w:szCs w:val="32"/>
        </w:rPr>
        <w:t>.</w:t>
      </w:r>
      <w:r w:rsidR="0083725B">
        <w:rPr>
          <w:rStyle w:val="a7"/>
          <w:rFonts w:ascii="仿宋" w:eastAsia="仿宋" w:hAnsi="仿宋" w:hint="eastAsia"/>
          <w:bCs/>
          <w:sz w:val="32"/>
          <w:szCs w:val="32"/>
        </w:rPr>
        <w:t>社会保障和就业（类）05行政事业单位养老支出（款）</w:t>
      </w:r>
      <w:r>
        <w:rPr>
          <w:rStyle w:val="a7"/>
          <w:rFonts w:ascii="仿宋" w:eastAsia="仿宋" w:hAnsi="仿宋" w:hint="eastAsia"/>
          <w:bCs/>
          <w:sz w:val="32"/>
          <w:szCs w:val="32"/>
        </w:rPr>
        <w:t>01行政</w:t>
      </w:r>
      <w:r w:rsidR="0083725B">
        <w:rPr>
          <w:rStyle w:val="a7"/>
          <w:rFonts w:ascii="仿宋" w:eastAsia="仿宋" w:hAnsi="仿宋" w:hint="eastAsia"/>
          <w:bCs/>
          <w:sz w:val="32"/>
          <w:szCs w:val="32"/>
        </w:rPr>
        <w:t>单位离退休（项）</w:t>
      </w:r>
      <w:r w:rsidR="0083725B">
        <w:rPr>
          <w:rStyle w:val="a7"/>
          <w:rFonts w:ascii="仿宋" w:eastAsia="仿宋" w:hAnsi="仿宋"/>
          <w:bCs/>
          <w:sz w:val="32"/>
          <w:szCs w:val="32"/>
        </w:rPr>
        <w:t>:</w:t>
      </w:r>
      <w:r w:rsidR="0083725B">
        <w:rPr>
          <w:rStyle w:val="a7"/>
          <w:rFonts w:ascii="仿宋" w:eastAsia="仿宋" w:hAnsi="仿宋"/>
          <w:b w:val="0"/>
          <w:bCs/>
          <w:sz w:val="32"/>
          <w:szCs w:val="32"/>
        </w:rPr>
        <w:t xml:space="preserve"> </w:t>
      </w:r>
      <w:r w:rsidR="0083725B">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0.3</w:t>
      </w:r>
      <w:r w:rsidR="0083725B">
        <w:rPr>
          <w:rStyle w:val="a7"/>
          <w:rFonts w:ascii="仿宋" w:eastAsia="仿宋" w:hAnsi="仿宋" w:hint="eastAsia"/>
          <w:b w:val="0"/>
          <w:bCs/>
          <w:sz w:val="32"/>
          <w:szCs w:val="32"/>
        </w:rPr>
        <w:t>万元，完成预算</w:t>
      </w:r>
      <w:r w:rsidR="002174D2">
        <w:rPr>
          <w:rStyle w:val="a7"/>
          <w:rFonts w:ascii="仿宋" w:eastAsia="仿宋" w:hAnsi="仿宋"/>
          <w:b w:val="0"/>
          <w:bCs/>
          <w:sz w:val="32"/>
          <w:szCs w:val="32"/>
        </w:rPr>
        <w:t>100</w:t>
      </w:r>
      <w:r w:rsidR="0083725B">
        <w:rPr>
          <w:rStyle w:val="a7"/>
          <w:rFonts w:ascii="仿宋" w:eastAsia="仿宋" w:hAnsi="仿宋"/>
          <w:b w:val="0"/>
          <w:bCs/>
          <w:sz w:val="32"/>
          <w:szCs w:val="32"/>
        </w:rPr>
        <w:t>%</w:t>
      </w:r>
      <w:r w:rsidR="0083725B">
        <w:rPr>
          <w:rStyle w:val="a7"/>
          <w:rFonts w:ascii="仿宋" w:eastAsia="仿宋" w:hAnsi="仿宋" w:hint="eastAsia"/>
          <w:b w:val="0"/>
          <w:bCs/>
          <w:sz w:val="32"/>
          <w:szCs w:val="32"/>
        </w:rPr>
        <w:t>。</w:t>
      </w:r>
    </w:p>
    <w:p w:rsidR="0083725B" w:rsidRDefault="005E22CD" w:rsidP="0083725B">
      <w:pPr>
        <w:spacing w:line="600" w:lineRule="exact"/>
        <w:ind w:firstLineChars="200" w:firstLine="643"/>
        <w:rPr>
          <w:rStyle w:val="a7"/>
          <w:rFonts w:ascii="仿宋" w:eastAsia="仿宋" w:hAnsi="仿宋"/>
          <w:b w:val="0"/>
          <w:bCs/>
          <w:sz w:val="32"/>
          <w:szCs w:val="32"/>
          <w:highlight w:val="yellow"/>
        </w:rPr>
      </w:pPr>
      <w:r>
        <w:rPr>
          <w:rStyle w:val="a7"/>
          <w:rFonts w:ascii="仿宋" w:eastAsia="仿宋" w:hAnsi="仿宋" w:hint="eastAsia"/>
          <w:bCs/>
          <w:sz w:val="32"/>
          <w:szCs w:val="32"/>
        </w:rPr>
        <w:t>6</w:t>
      </w:r>
      <w:r w:rsidR="0083725B">
        <w:rPr>
          <w:rStyle w:val="a7"/>
          <w:rFonts w:ascii="仿宋" w:eastAsia="仿宋" w:hAnsi="仿宋"/>
          <w:bCs/>
          <w:sz w:val="32"/>
          <w:szCs w:val="32"/>
        </w:rPr>
        <w:t>.</w:t>
      </w:r>
      <w:r w:rsidR="0083725B">
        <w:rPr>
          <w:rStyle w:val="a7"/>
          <w:rFonts w:ascii="仿宋" w:eastAsia="仿宋" w:hAnsi="仿宋" w:hint="eastAsia"/>
          <w:bCs/>
          <w:sz w:val="32"/>
          <w:szCs w:val="32"/>
        </w:rPr>
        <w:t>208社会保障和就业（类）05行政事业单位养老支出（款）</w:t>
      </w:r>
      <w:r>
        <w:rPr>
          <w:rStyle w:val="a7"/>
          <w:rFonts w:ascii="仿宋" w:eastAsia="仿宋" w:hAnsi="仿宋" w:hint="eastAsia"/>
          <w:bCs/>
          <w:sz w:val="32"/>
          <w:szCs w:val="32"/>
        </w:rPr>
        <w:t>02</w:t>
      </w:r>
      <w:r w:rsidRPr="005E22CD">
        <w:rPr>
          <w:rStyle w:val="a7"/>
          <w:rFonts w:ascii="仿宋" w:eastAsia="仿宋" w:hAnsi="仿宋" w:hint="eastAsia"/>
          <w:bCs/>
          <w:sz w:val="32"/>
          <w:szCs w:val="32"/>
        </w:rPr>
        <w:t>事业单位离退休</w:t>
      </w:r>
      <w:r w:rsidR="0083725B">
        <w:rPr>
          <w:rStyle w:val="a7"/>
          <w:rFonts w:ascii="仿宋" w:eastAsia="仿宋" w:hAnsi="仿宋" w:hint="eastAsia"/>
          <w:bCs/>
          <w:sz w:val="32"/>
          <w:szCs w:val="32"/>
        </w:rPr>
        <w:t>（项）</w:t>
      </w:r>
      <w:r w:rsidR="0083725B">
        <w:rPr>
          <w:rStyle w:val="a7"/>
          <w:rFonts w:ascii="仿宋" w:eastAsia="仿宋" w:hAnsi="仿宋"/>
          <w:bCs/>
          <w:sz w:val="32"/>
          <w:szCs w:val="32"/>
        </w:rPr>
        <w:t>:</w:t>
      </w:r>
      <w:r w:rsidR="0083725B">
        <w:rPr>
          <w:rStyle w:val="a7"/>
          <w:rFonts w:ascii="仿宋" w:eastAsia="仿宋" w:hAnsi="仿宋"/>
          <w:b w:val="0"/>
          <w:bCs/>
          <w:sz w:val="32"/>
          <w:szCs w:val="32"/>
        </w:rPr>
        <w:t xml:space="preserve"> </w:t>
      </w:r>
      <w:r w:rsidR="0083725B">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59.08</w:t>
      </w:r>
      <w:r w:rsidR="0083725B">
        <w:rPr>
          <w:rStyle w:val="a7"/>
          <w:rFonts w:ascii="仿宋" w:eastAsia="仿宋" w:hAnsi="仿宋" w:hint="eastAsia"/>
          <w:b w:val="0"/>
          <w:bCs/>
          <w:sz w:val="32"/>
          <w:szCs w:val="32"/>
        </w:rPr>
        <w:t>万元，完成预算100</w:t>
      </w:r>
      <w:r w:rsidR="0083725B">
        <w:rPr>
          <w:rStyle w:val="a7"/>
          <w:rFonts w:ascii="仿宋" w:eastAsia="仿宋" w:hAnsi="仿宋"/>
          <w:b w:val="0"/>
          <w:bCs/>
          <w:sz w:val="32"/>
          <w:szCs w:val="32"/>
        </w:rPr>
        <w:t>%</w:t>
      </w:r>
      <w:r w:rsidR="0083725B">
        <w:rPr>
          <w:rStyle w:val="a7"/>
          <w:rFonts w:ascii="仿宋" w:eastAsia="仿宋" w:hAnsi="仿宋" w:hint="eastAsia"/>
          <w:b w:val="0"/>
          <w:bCs/>
          <w:sz w:val="32"/>
          <w:szCs w:val="32"/>
        </w:rPr>
        <w:t>。</w:t>
      </w:r>
    </w:p>
    <w:p w:rsidR="0083725B" w:rsidRDefault="00D856B5" w:rsidP="0083725B">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7</w:t>
      </w:r>
      <w:r w:rsidR="0083725B">
        <w:rPr>
          <w:rStyle w:val="a7"/>
          <w:rFonts w:ascii="仿宋" w:eastAsia="仿宋" w:hAnsi="仿宋"/>
          <w:bCs/>
          <w:sz w:val="32"/>
          <w:szCs w:val="32"/>
        </w:rPr>
        <w:t>.</w:t>
      </w:r>
      <w:r w:rsidR="0083725B">
        <w:rPr>
          <w:rStyle w:val="a7"/>
          <w:rFonts w:ascii="仿宋" w:eastAsia="仿宋" w:hAnsi="仿宋" w:hint="eastAsia"/>
          <w:bCs/>
          <w:sz w:val="32"/>
          <w:szCs w:val="32"/>
        </w:rPr>
        <w:t>208社会保障和就业（类）05行政事业单位养老支出（款）</w:t>
      </w:r>
      <w:r>
        <w:rPr>
          <w:rStyle w:val="a7"/>
          <w:rFonts w:ascii="仿宋" w:eastAsia="仿宋" w:hAnsi="仿宋" w:hint="eastAsia"/>
          <w:bCs/>
          <w:sz w:val="32"/>
          <w:szCs w:val="32"/>
        </w:rPr>
        <w:t>05机关事业单位基本养老保险缴费</w:t>
      </w:r>
      <w:r w:rsidR="0083725B">
        <w:rPr>
          <w:rStyle w:val="a7"/>
          <w:rFonts w:ascii="仿宋" w:eastAsia="仿宋" w:hAnsi="仿宋" w:hint="eastAsia"/>
          <w:bCs/>
          <w:sz w:val="32"/>
          <w:szCs w:val="32"/>
        </w:rPr>
        <w:t>（项）</w:t>
      </w:r>
      <w:r w:rsidR="0083725B">
        <w:rPr>
          <w:rStyle w:val="a7"/>
          <w:rFonts w:ascii="仿宋" w:eastAsia="仿宋" w:hAnsi="仿宋"/>
          <w:bCs/>
          <w:sz w:val="32"/>
          <w:szCs w:val="32"/>
        </w:rPr>
        <w:t>:</w:t>
      </w:r>
      <w:r w:rsidR="0083725B">
        <w:rPr>
          <w:rStyle w:val="a7"/>
          <w:rFonts w:ascii="仿宋" w:eastAsia="仿宋" w:hAnsi="仿宋"/>
          <w:b w:val="0"/>
          <w:bCs/>
          <w:sz w:val="32"/>
          <w:szCs w:val="32"/>
        </w:rPr>
        <w:t xml:space="preserve"> </w:t>
      </w:r>
      <w:r w:rsidR="0083725B">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647.03</w:t>
      </w:r>
      <w:r w:rsidR="0083725B">
        <w:rPr>
          <w:rStyle w:val="a7"/>
          <w:rFonts w:ascii="仿宋" w:eastAsia="仿宋" w:hAnsi="仿宋" w:hint="eastAsia"/>
          <w:b w:val="0"/>
          <w:bCs/>
          <w:sz w:val="32"/>
          <w:szCs w:val="32"/>
        </w:rPr>
        <w:t>万元，完成预算100</w:t>
      </w:r>
      <w:r w:rsidR="0083725B">
        <w:rPr>
          <w:rStyle w:val="a7"/>
          <w:rFonts w:ascii="仿宋" w:eastAsia="仿宋" w:hAnsi="仿宋"/>
          <w:b w:val="0"/>
          <w:bCs/>
          <w:sz w:val="32"/>
          <w:szCs w:val="32"/>
        </w:rPr>
        <w:t>%</w:t>
      </w:r>
      <w:r w:rsidR="0083725B">
        <w:rPr>
          <w:rStyle w:val="a7"/>
          <w:rFonts w:ascii="仿宋" w:eastAsia="仿宋" w:hAnsi="仿宋" w:hint="eastAsia"/>
          <w:b w:val="0"/>
          <w:bCs/>
          <w:sz w:val="32"/>
          <w:szCs w:val="32"/>
        </w:rPr>
        <w:t>。</w:t>
      </w:r>
    </w:p>
    <w:p w:rsidR="00D856B5" w:rsidRDefault="00000515" w:rsidP="00D856B5">
      <w:pPr>
        <w:pStyle w:val="a0"/>
        <w:spacing w:before="93"/>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8</w:t>
      </w:r>
      <w:r w:rsidR="00D856B5">
        <w:rPr>
          <w:rStyle w:val="a7"/>
          <w:rFonts w:ascii="仿宋" w:eastAsia="仿宋" w:hAnsi="仿宋"/>
          <w:bCs/>
          <w:sz w:val="32"/>
          <w:szCs w:val="32"/>
        </w:rPr>
        <w:t>.</w:t>
      </w:r>
      <w:r w:rsidR="00D856B5">
        <w:rPr>
          <w:rStyle w:val="a7"/>
          <w:rFonts w:ascii="仿宋" w:eastAsia="仿宋" w:hAnsi="仿宋" w:hint="eastAsia"/>
          <w:bCs/>
          <w:sz w:val="32"/>
          <w:szCs w:val="32"/>
        </w:rPr>
        <w:t>208社会保障和就业（类）05行政事业单位养老支出（款）06</w:t>
      </w:r>
      <w:r w:rsidR="00D856B5" w:rsidRPr="00D856B5">
        <w:rPr>
          <w:rStyle w:val="a7"/>
          <w:rFonts w:ascii="仿宋" w:eastAsia="仿宋" w:hAnsi="仿宋" w:hint="eastAsia"/>
          <w:bCs/>
          <w:sz w:val="32"/>
          <w:szCs w:val="32"/>
        </w:rPr>
        <w:t>机关事业单位职业年金缴费支出</w:t>
      </w:r>
      <w:r w:rsidR="00D856B5">
        <w:rPr>
          <w:rStyle w:val="a7"/>
          <w:rFonts w:ascii="仿宋" w:eastAsia="仿宋" w:hAnsi="仿宋" w:hint="eastAsia"/>
          <w:bCs/>
          <w:sz w:val="32"/>
          <w:szCs w:val="32"/>
        </w:rPr>
        <w:t>（项）</w:t>
      </w:r>
      <w:r w:rsidR="00D856B5">
        <w:rPr>
          <w:rStyle w:val="a7"/>
          <w:rFonts w:ascii="仿宋" w:eastAsia="仿宋" w:hAnsi="仿宋"/>
          <w:bCs/>
          <w:sz w:val="32"/>
          <w:szCs w:val="32"/>
        </w:rPr>
        <w:t>:</w:t>
      </w:r>
      <w:r w:rsidR="00D856B5">
        <w:rPr>
          <w:rStyle w:val="a7"/>
          <w:rFonts w:ascii="仿宋" w:eastAsia="仿宋" w:hAnsi="仿宋"/>
          <w:b w:val="0"/>
          <w:bCs/>
          <w:sz w:val="32"/>
          <w:szCs w:val="32"/>
        </w:rPr>
        <w:t xml:space="preserve"> </w:t>
      </w:r>
      <w:r w:rsidR="00D856B5">
        <w:rPr>
          <w:rStyle w:val="a7"/>
          <w:rFonts w:ascii="仿宋" w:eastAsia="仿宋" w:hAnsi="仿宋" w:hint="eastAsia"/>
          <w:b w:val="0"/>
          <w:bCs/>
          <w:sz w:val="32"/>
          <w:szCs w:val="32"/>
        </w:rPr>
        <w:t>支出决算为68.53万元，完成预算100</w:t>
      </w:r>
      <w:r w:rsidR="00D856B5">
        <w:rPr>
          <w:rStyle w:val="a7"/>
          <w:rFonts w:ascii="仿宋" w:eastAsia="仿宋" w:hAnsi="仿宋"/>
          <w:b w:val="0"/>
          <w:bCs/>
          <w:sz w:val="32"/>
          <w:szCs w:val="32"/>
        </w:rPr>
        <w:t>%</w:t>
      </w:r>
      <w:r w:rsidR="00D856B5">
        <w:rPr>
          <w:rStyle w:val="a7"/>
          <w:rFonts w:ascii="仿宋" w:eastAsia="仿宋" w:hAnsi="仿宋" w:hint="eastAsia"/>
          <w:b w:val="0"/>
          <w:bCs/>
          <w:sz w:val="32"/>
          <w:szCs w:val="32"/>
        </w:rPr>
        <w:t>。</w:t>
      </w:r>
    </w:p>
    <w:p w:rsidR="00D856B5" w:rsidRDefault="00D856B5" w:rsidP="00D856B5">
      <w:pPr>
        <w:pStyle w:val="a0"/>
        <w:spacing w:before="93"/>
        <w:ind w:firstLineChars="200" w:firstLine="643"/>
        <w:rPr>
          <w:rStyle w:val="a7"/>
          <w:rFonts w:ascii="仿宋" w:eastAsia="仿宋" w:hAnsi="仿宋"/>
          <w:b w:val="0"/>
          <w:bCs/>
          <w:sz w:val="32"/>
          <w:szCs w:val="32"/>
        </w:rPr>
      </w:pPr>
      <w:r>
        <w:rPr>
          <w:rStyle w:val="a7"/>
          <w:rFonts w:ascii="仿宋" w:eastAsia="仿宋" w:hAnsi="仿宋" w:hint="eastAsia"/>
          <w:bCs/>
          <w:sz w:val="32"/>
          <w:szCs w:val="32"/>
        </w:rPr>
        <w:lastRenderedPageBreak/>
        <w:t>9</w:t>
      </w:r>
      <w:r>
        <w:rPr>
          <w:rStyle w:val="a7"/>
          <w:rFonts w:ascii="仿宋" w:eastAsia="仿宋" w:hAnsi="仿宋"/>
          <w:bCs/>
          <w:sz w:val="32"/>
          <w:szCs w:val="32"/>
        </w:rPr>
        <w:t>.</w:t>
      </w:r>
      <w:r>
        <w:rPr>
          <w:rStyle w:val="a7"/>
          <w:rFonts w:ascii="仿宋" w:eastAsia="仿宋" w:hAnsi="仿宋" w:hint="eastAsia"/>
          <w:bCs/>
          <w:sz w:val="32"/>
          <w:szCs w:val="32"/>
        </w:rPr>
        <w:t>208社会保障和就业（类）05行政事业单位养老支出（款）99</w:t>
      </w:r>
      <w:r w:rsidRPr="00D856B5">
        <w:rPr>
          <w:rStyle w:val="a7"/>
          <w:rFonts w:ascii="仿宋" w:eastAsia="仿宋" w:hAnsi="仿宋" w:hint="eastAsia"/>
          <w:bCs/>
          <w:sz w:val="32"/>
          <w:szCs w:val="32"/>
        </w:rPr>
        <w:t>其他行政事业单位养老支出</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支出决算为143.84万元，完成预算100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3725B" w:rsidRDefault="00D856B5" w:rsidP="00D856B5">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10</w:t>
      </w:r>
      <w:r w:rsidR="0083725B">
        <w:rPr>
          <w:rStyle w:val="a7"/>
          <w:rFonts w:ascii="仿宋" w:eastAsia="仿宋" w:hAnsi="仿宋"/>
          <w:bCs/>
          <w:sz w:val="32"/>
          <w:szCs w:val="32"/>
        </w:rPr>
        <w:t>.</w:t>
      </w:r>
      <w:r w:rsidR="0083725B">
        <w:rPr>
          <w:rStyle w:val="a7"/>
          <w:rFonts w:ascii="仿宋" w:eastAsia="仿宋" w:hAnsi="仿宋" w:hint="eastAsia"/>
          <w:bCs/>
          <w:sz w:val="32"/>
          <w:szCs w:val="32"/>
        </w:rPr>
        <w:t>210</w:t>
      </w:r>
      <w:r w:rsidR="0083725B">
        <w:rPr>
          <w:rFonts w:ascii="仿宋" w:eastAsia="仿宋" w:hAnsi="仿宋" w:hint="eastAsia"/>
          <w:b/>
          <w:bCs/>
          <w:sz w:val="32"/>
          <w:szCs w:val="32"/>
        </w:rPr>
        <w:t>卫生健康</w:t>
      </w:r>
      <w:r w:rsidR="0083725B">
        <w:rPr>
          <w:rStyle w:val="a7"/>
          <w:rFonts w:ascii="仿宋" w:eastAsia="仿宋" w:hAnsi="仿宋" w:hint="eastAsia"/>
          <w:bCs/>
          <w:sz w:val="32"/>
          <w:szCs w:val="32"/>
        </w:rPr>
        <w:t>（类）11行政事业单位医疗（款）02事业单位医疗（项）</w:t>
      </w:r>
      <w:r w:rsidR="0083725B">
        <w:rPr>
          <w:rStyle w:val="a7"/>
          <w:rFonts w:ascii="仿宋" w:eastAsia="仿宋" w:hAnsi="仿宋"/>
          <w:bCs/>
          <w:sz w:val="32"/>
          <w:szCs w:val="32"/>
        </w:rPr>
        <w:t>:</w:t>
      </w:r>
      <w:r w:rsidR="0083725B">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297.89</w:t>
      </w:r>
      <w:r w:rsidR="0083725B">
        <w:rPr>
          <w:rStyle w:val="a7"/>
          <w:rFonts w:ascii="仿宋" w:eastAsia="仿宋" w:hAnsi="仿宋" w:hint="eastAsia"/>
          <w:b w:val="0"/>
          <w:bCs/>
          <w:sz w:val="32"/>
          <w:szCs w:val="32"/>
        </w:rPr>
        <w:t>万元，完成预算100</w:t>
      </w:r>
      <w:r w:rsidR="0083725B">
        <w:rPr>
          <w:rStyle w:val="a7"/>
          <w:rFonts w:ascii="仿宋" w:eastAsia="仿宋" w:hAnsi="仿宋"/>
          <w:b w:val="0"/>
          <w:bCs/>
          <w:sz w:val="32"/>
          <w:szCs w:val="32"/>
        </w:rPr>
        <w:t>%</w:t>
      </w:r>
      <w:r w:rsidR="0083725B">
        <w:rPr>
          <w:rStyle w:val="a7"/>
          <w:rFonts w:ascii="仿宋" w:eastAsia="仿宋" w:hAnsi="仿宋" w:hint="eastAsia"/>
          <w:b w:val="0"/>
          <w:bCs/>
          <w:sz w:val="32"/>
          <w:szCs w:val="32"/>
        </w:rPr>
        <w:t>。</w:t>
      </w:r>
    </w:p>
    <w:p w:rsidR="0083725B" w:rsidRDefault="00D856B5" w:rsidP="0083725B">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11</w:t>
      </w:r>
      <w:r w:rsidR="0083725B">
        <w:rPr>
          <w:rStyle w:val="a7"/>
          <w:rFonts w:ascii="仿宋" w:eastAsia="仿宋" w:hAnsi="仿宋"/>
          <w:bCs/>
          <w:sz w:val="32"/>
          <w:szCs w:val="32"/>
        </w:rPr>
        <w:t>.</w:t>
      </w:r>
      <w:r w:rsidR="0083725B">
        <w:rPr>
          <w:rStyle w:val="a7"/>
          <w:rFonts w:ascii="仿宋" w:eastAsia="仿宋" w:hAnsi="仿宋" w:hint="eastAsia"/>
          <w:bCs/>
          <w:sz w:val="32"/>
          <w:szCs w:val="32"/>
        </w:rPr>
        <w:t>210</w:t>
      </w:r>
      <w:r w:rsidR="0083725B">
        <w:rPr>
          <w:rFonts w:ascii="仿宋" w:eastAsia="仿宋" w:hAnsi="仿宋" w:hint="eastAsia"/>
          <w:b/>
          <w:bCs/>
          <w:sz w:val="32"/>
          <w:szCs w:val="32"/>
        </w:rPr>
        <w:t>卫生健康</w:t>
      </w:r>
      <w:r w:rsidR="0083725B">
        <w:rPr>
          <w:rStyle w:val="a7"/>
          <w:rFonts w:ascii="仿宋" w:eastAsia="仿宋" w:hAnsi="仿宋" w:hint="eastAsia"/>
          <w:bCs/>
          <w:sz w:val="32"/>
          <w:szCs w:val="32"/>
        </w:rPr>
        <w:t>（类）11行政事业单位医疗（款）99其他行政事业单位养老支出（项）</w:t>
      </w:r>
      <w:r w:rsidR="0083725B">
        <w:rPr>
          <w:rStyle w:val="a7"/>
          <w:rFonts w:ascii="仿宋" w:eastAsia="仿宋" w:hAnsi="仿宋"/>
          <w:bCs/>
          <w:sz w:val="32"/>
          <w:szCs w:val="32"/>
        </w:rPr>
        <w:t>:</w:t>
      </w:r>
      <w:r w:rsidR="0083725B">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64.58</w:t>
      </w:r>
      <w:r w:rsidR="0083725B">
        <w:rPr>
          <w:rStyle w:val="a7"/>
          <w:rFonts w:ascii="仿宋" w:eastAsia="仿宋" w:hAnsi="仿宋" w:hint="eastAsia"/>
          <w:b w:val="0"/>
          <w:bCs/>
          <w:sz w:val="32"/>
          <w:szCs w:val="32"/>
        </w:rPr>
        <w:t>万元，完成预算100</w:t>
      </w:r>
      <w:r w:rsidR="0083725B">
        <w:rPr>
          <w:rStyle w:val="a7"/>
          <w:rFonts w:ascii="仿宋" w:eastAsia="仿宋" w:hAnsi="仿宋"/>
          <w:b w:val="0"/>
          <w:bCs/>
          <w:sz w:val="32"/>
          <w:szCs w:val="32"/>
        </w:rPr>
        <w:t>%</w:t>
      </w:r>
      <w:r w:rsidR="0083725B">
        <w:rPr>
          <w:rStyle w:val="a7"/>
          <w:rFonts w:ascii="仿宋" w:eastAsia="仿宋" w:hAnsi="仿宋" w:hint="eastAsia"/>
          <w:b w:val="0"/>
          <w:bCs/>
          <w:sz w:val="32"/>
          <w:szCs w:val="32"/>
        </w:rPr>
        <w:t>。</w:t>
      </w:r>
    </w:p>
    <w:p w:rsidR="00FB7B1A" w:rsidRPr="0083725B" w:rsidRDefault="00D856B5">
      <w:pPr>
        <w:spacing w:line="600" w:lineRule="exact"/>
        <w:ind w:firstLineChars="200" w:firstLine="643"/>
        <w:outlineLvl w:val="2"/>
        <w:rPr>
          <w:rFonts w:ascii="仿宋" w:eastAsia="仿宋" w:hAnsi="仿宋"/>
          <w:sz w:val="32"/>
          <w:szCs w:val="32"/>
        </w:rPr>
      </w:pPr>
      <w:bookmarkStart w:id="44" w:name="_Toc115080909"/>
      <w:r>
        <w:rPr>
          <w:rStyle w:val="a7"/>
          <w:rFonts w:ascii="仿宋" w:eastAsia="仿宋" w:hAnsi="仿宋" w:hint="eastAsia"/>
          <w:bCs/>
          <w:sz w:val="32"/>
          <w:szCs w:val="32"/>
        </w:rPr>
        <w:t>12</w:t>
      </w:r>
      <w:r w:rsidR="002174D2">
        <w:rPr>
          <w:rStyle w:val="a7"/>
          <w:rFonts w:ascii="仿宋" w:eastAsia="仿宋" w:hAnsi="仿宋"/>
          <w:bCs/>
          <w:sz w:val="32"/>
          <w:szCs w:val="32"/>
        </w:rPr>
        <w:t>.</w:t>
      </w:r>
      <w:r w:rsidR="002174D2">
        <w:rPr>
          <w:rStyle w:val="a7"/>
          <w:rFonts w:ascii="仿宋" w:eastAsia="仿宋" w:hAnsi="仿宋" w:hint="eastAsia"/>
          <w:bCs/>
          <w:sz w:val="32"/>
          <w:szCs w:val="32"/>
        </w:rPr>
        <w:t>2</w:t>
      </w:r>
      <w:r w:rsidR="002174D2">
        <w:rPr>
          <w:rStyle w:val="a7"/>
          <w:rFonts w:ascii="仿宋" w:eastAsia="仿宋" w:hAnsi="仿宋"/>
          <w:bCs/>
          <w:sz w:val="32"/>
          <w:szCs w:val="32"/>
        </w:rPr>
        <w:t>21</w:t>
      </w:r>
      <w:r w:rsidR="002174D2">
        <w:rPr>
          <w:rFonts w:ascii="仿宋" w:eastAsia="仿宋" w:hAnsi="仿宋" w:hint="eastAsia"/>
          <w:b/>
          <w:bCs/>
          <w:sz w:val="32"/>
          <w:szCs w:val="32"/>
        </w:rPr>
        <w:t>住房保障</w:t>
      </w:r>
      <w:r w:rsidR="002174D2">
        <w:rPr>
          <w:rStyle w:val="a7"/>
          <w:rFonts w:ascii="仿宋" w:eastAsia="仿宋" w:hAnsi="仿宋" w:hint="eastAsia"/>
          <w:bCs/>
          <w:sz w:val="32"/>
          <w:szCs w:val="32"/>
        </w:rPr>
        <w:t>（类）0</w:t>
      </w:r>
      <w:r w:rsidR="002174D2">
        <w:rPr>
          <w:rStyle w:val="a7"/>
          <w:rFonts w:ascii="仿宋" w:eastAsia="仿宋" w:hAnsi="仿宋"/>
          <w:bCs/>
          <w:sz w:val="32"/>
          <w:szCs w:val="32"/>
        </w:rPr>
        <w:t>2</w:t>
      </w:r>
      <w:r w:rsidR="002174D2" w:rsidRPr="002174D2">
        <w:rPr>
          <w:rStyle w:val="a7"/>
          <w:rFonts w:ascii="仿宋" w:eastAsia="仿宋" w:hAnsi="仿宋" w:hint="eastAsia"/>
          <w:bCs/>
          <w:sz w:val="32"/>
          <w:szCs w:val="32"/>
        </w:rPr>
        <w:t>住房改革</w:t>
      </w:r>
      <w:r w:rsidR="002174D2">
        <w:rPr>
          <w:rStyle w:val="a7"/>
          <w:rFonts w:ascii="仿宋" w:eastAsia="仿宋" w:hAnsi="仿宋" w:hint="eastAsia"/>
          <w:bCs/>
          <w:sz w:val="32"/>
          <w:szCs w:val="32"/>
        </w:rPr>
        <w:t>（款）</w:t>
      </w:r>
      <w:r w:rsidR="002174D2">
        <w:rPr>
          <w:rStyle w:val="a7"/>
          <w:rFonts w:ascii="仿宋" w:eastAsia="仿宋" w:hAnsi="仿宋"/>
          <w:bCs/>
          <w:sz w:val="32"/>
          <w:szCs w:val="32"/>
        </w:rPr>
        <w:t>01</w:t>
      </w:r>
      <w:r w:rsidR="002174D2">
        <w:rPr>
          <w:rStyle w:val="a7"/>
          <w:rFonts w:ascii="仿宋" w:eastAsia="仿宋" w:hAnsi="仿宋" w:hint="eastAsia"/>
          <w:bCs/>
          <w:sz w:val="32"/>
          <w:szCs w:val="32"/>
        </w:rPr>
        <w:t>住房公积金支出（项）</w:t>
      </w:r>
      <w:r w:rsidR="002174D2">
        <w:rPr>
          <w:rStyle w:val="a7"/>
          <w:rFonts w:ascii="仿宋" w:eastAsia="仿宋" w:hAnsi="仿宋"/>
          <w:bCs/>
          <w:sz w:val="32"/>
          <w:szCs w:val="32"/>
        </w:rPr>
        <w:t>:</w:t>
      </w:r>
      <w:r w:rsidR="002174D2">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272</w:t>
      </w:r>
      <w:r w:rsidR="002174D2">
        <w:rPr>
          <w:rStyle w:val="a7"/>
          <w:rFonts w:ascii="仿宋" w:eastAsia="仿宋" w:hAnsi="仿宋" w:hint="eastAsia"/>
          <w:b w:val="0"/>
          <w:bCs/>
          <w:sz w:val="32"/>
          <w:szCs w:val="32"/>
        </w:rPr>
        <w:t>万元，完成预算100</w:t>
      </w:r>
      <w:r w:rsidR="002174D2">
        <w:rPr>
          <w:rStyle w:val="a7"/>
          <w:rFonts w:ascii="仿宋" w:eastAsia="仿宋" w:hAnsi="仿宋"/>
          <w:b w:val="0"/>
          <w:bCs/>
          <w:sz w:val="32"/>
          <w:szCs w:val="32"/>
        </w:rPr>
        <w:t>%</w:t>
      </w:r>
      <w:r w:rsidR="002174D2">
        <w:rPr>
          <w:rStyle w:val="a7"/>
          <w:rFonts w:ascii="仿宋" w:eastAsia="仿宋" w:hAnsi="仿宋" w:hint="eastAsia"/>
          <w:b w:val="0"/>
          <w:bCs/>
          <w:sz w:val="32"/>
          <w:szCs w:val="32"/>
        </w:rPr>
        <w:t>。</w:t>
      </w:r>
      <w:bookmarkEnd w:id="44"/>
    </w:p>
    <w:p w:rsidR="00FB7B1A" w:rsidRDefault="00A57848">
      <w:pPr>
        <w:tabs>
          <w:tab w:val="right" w:pos="8306"/>
        </w:tabs>
        <w:spacing w:line="600" w:lineRule="exact"/>
        <w:ind w:firstLine="640"/>
        <w:outlineLvl w:val="1"/>
        <w:rPr>
          <w:rStyle w:val="2Char"/>
        </w:rPr>
      </w:pPr>
      <w:bookmarkStart w:id="45" w:name="_Toc15396608"/>
      <w:bookmarkStart w:id="46" w:name="_Toc15377214"/>
      <w:bookmarkStart w:id="47" w:name="_Toc115080910"/>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5"/>
      <w:bookmarkEnd w:id="46"/>
      <w:bookmarkEnd w:id="47"/>
      <w:r>
        <w:rPr>
          <w:rStyle w:val="2Char"/>
          <w:rFonts w:ascii="黑体" w:eastAsia="黑体" w:hAnsi="黑体"/>
          <w:b w:val="0"/>
        </w:rPr>
        <w:tab/>
      </w:r>
    </w:p>
    <w:p w:rsidR="00FB7B1A" w:rsidRDefault="00A57848">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sidR="0054493B">
        <w:rPr>
          <w:rFonts w:ascii="仿宋" w:eastAsia="仿宋" w:hAnsi="仿宋" w:hint="eastAsia"/>
          <w:sz w:val="32"/>
          <w:szCs w:val="32"/>
        </w:rPr>
        <w:t>7969.78</w:t>
      </w:r>
      <w:r>
        <w:rPr>
          <w:rFonts w:ascii="仿宋" w:eastAsia="仿宋" w:hAnsi="仿宋" w:hint="eastAsia"/>
          <w:sz w:val="32"/>
          <w:szCs w:val="32"/>
        </w:rPr>
        <w:t>万元，其中：</w:t>
      </w:r>
    </w:p>
    <w:p w:rsidR="00FB7B1A" w:rsidRDefault="00A57848" w:rsidP="005955DC">
      <w:pPr>
        <w:spacing w:line="600" w:lineRule="exact"/>
        <w:ind w:firstLine="645"/>
        <w:rPr>
          <w:rFonts w:ascii="仿宋" w:eastAsia="仿宋" w:hAnsi="仿宋"/>
          <w:sz w:val="32"/>
          <w:szCs w:val="32"/>
        </w:rPr>
      </w:pPr>
      <w:r>
        <w:rPr>
          <w:rFonts w:ascii="仿宋" w:eastAsia="仿宋" w:hAnsi="仿宋" w:hint="eastAsia"/>
          <w:sz w:val="32"/>
          <w:szCs w:val="32"/>
        </w:rPr>
        <w:t>人员经费</w:t>
      </w:r>
      <w:r w:rsidR="0054493B">
        <w:rPr>
          <w:rFonts w:ascii="仿宋" w:eastAsia="仿宋" w:hAnsi="仿宋" w:hint="eastAsia"/>
          <w:sz w:val="32"/>
          <w:szCs w:val="32"/>
        </w:rPr>
        <w:t>6573.86</w:t>
      </w:r>
      <w:r>
        <w:rPr>
          <w:rFonts w:ascii="仿宋" w:eastAsia="仿宋" w:hAnsi="仿宋" w:hint="eastAsia"/>
          <w:sz w:val="32"/>
          <w:szCs w:val="32"/>
        </w:rPr>
        <w:t>万元，主要包括：基本工资、津贴补贴、绩效工资、机关事业单位基本养老保险缴费、职业年金缴费、</w:t>
      </w:r>
      <w:r w:rsidR="005955DC" w:rsidRPr="005955DC">
        <w:rPr>
          <w:rFonts w:ascii="仿宋" w:eastAsia="仿宋" w:hAnsi="仿宋" w:hint="eastAsia"/>
          <w:sz w:val="32"/>
          <w:szCs w:val="32"/>
        </w:rPr>
        <w:t>职工基本医疗保险缴费</w:t>
      </w:r>
      <w:r w:rsidR="005955DC">
        <w:rPr>
          <w:rFonts w:ascii="仿宋" w:eastAsia="仿宋" w:hAnsi="仿宋" w:hint="eastAsia"/>
          <w:sz w:val="32"/>
          <w:szCs w:val="32"/>
        </w:rPr>
        <w:t>、</w:t>
      </w:r>
      <w:r w:rsidR="005955DC" w:rsidRPr="005955DC">
        <w:rPr>
          <w:rFonts w:ascii="仿宋" w:eastAsia="仿宋" w:hAnsi="仿宋" w:hint="eastAsia"/>
          <w:sz w:val="32"/>
          <w:szCs w:val="32"/>
        </w:rPr>
        <w:t>其他社会保障缴费</w:t>
      </w:r>
      <w:r w:rsidR="005955DC">
        <w:rPr>
          <w:rFonts w:ascii="仿宋" w:eastAsia="仿宋" w:hAnsi="仿宋" w:hint="eastAsia"/>
          <w:sz w:val="32"/>
          <w:szCs w:val="32"/>
        </w:rPr>
        <w:t>、</w:t>
      </w:r>
      <w:r w:rsidR="005955DC" w:rsidRPr="005955DC">
        <w:rPr>
          <w:rFonts w:ascii="仿宋" w:eastAsia="仿宋" w:hAnsi="仿宋" w:hint="eastAsia"/>
          <w:sz w:val="32"/>
          <w:szCs w:val="32"/>
        </w:rPr>
        <w:t>住房公积金</w:t>
      </w:r>
      <w:r w:rsidR="005955DC">
        <w:rPr>
          <w:rFonts w:ascii="仿宋" w:eastAsia="仿宋" w:hAnsi="仿宋" w:hint="eastAsia"/>
          <w:sz w:val="32"/>
          <w:szCs w:val="32"/>
        </w:rPr>
        <w:t>、</w:t>
      </w:r>
      <w:r>
        <w:rPr>
          <w:rFonts w:ascii="仿宋" w:eastAsia="仿宋" w:hAnsi="仿宋" w:hint="eastAsia"/>
          <w:sz w:val="32"/>
          <w:szCs w:val="32"/>
        </w:rPr>
        <w:t>其他工资福利支出、离休费、抚恤金、生活补助、医疗费补助、奖励金、其他对个人和家庭的补助支出等。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54493B">
        <w:rPr>
          <w:rFonts w:ascii="仿宋" w:eastAsia="仿宋" w:hAnsi="仿宋" w:hint="eastAsia"/>
          <w:sz w:val="32"/>
          <w:szCs w:val="32"/>
        </w:rPr>
        <w:t>754.36</w:t>
      </w:r>
      <w:r w:rsidR="005955DC">
        <w:rPr>
          <w:rFonts w:ascii="仿宋" w:eastAsia="仿宋" w:hAnsi="仿宋" w:hint="eastAsia"/>
          <w:sz w:val="32"/>
          <w:szCs w:val="32"/>
        </w:rPr>
        <w:t>万元，主要包括：办公费</w:t>
      </w:r>
      <w:r>
        <w:rPr>
          <w:rFonts w:ascii="仿宋" w:eastAsia="仿宋" w:hAnsi="仿宋" w:hint="eastAsia"/>
          <w:sz w:val="32"/>
          <w:szCs w:val="32"/>
        </w:rPr>
        <w:t>、水费、电费、邮电费、差旅费、维修（护）费、会议费、培训费、公务接待费、劳务费、工会经费、福利费、公务用车运行维护费、其他交通费</w:t>
      </w:r>
      <w:r w:rsidR="005955DC">
        <w:rPr>
          <w:rFonts w:ascii="仿宋" w:eastAsia="仿宋" w:hAnsi="仿宋" w:hint="eastAsia"/>
          <w:sz w:val="32"/>
          <w:szCs w:val="32"/>
        </w:rPr>
        <w:t>用</w:t>
      </w:r>
      <w:r>
        <w:rPr>
          <w:rFonts w:ascii="仿宋" w:eastAsia="仿宋" w:hAnsi="仿宋" w:hint="eastAsia"/>
          <w:sz w:val="32"/>
          <w:szCs w:val="32"/>
        </w:rPr>
        <w:t>、其</w:t>
      </w:r>
      <w:r w:rsidR="005955DC">
        <w:rPr>
          <w:rFonts w:ascii="仿宋" w:eastAsia="仿宋" w:hAnsi="仿宋" w:hint="eastAsia"/>
          <w:sz w:val="32"/>
          <w:szCs w:val="32"/>
        </w:rPr>
        <w:t>他商品和服务支出</w:t>
      </w:r>
      <w:r>
        <w:rPr>
          <w:rFonts w:ascii="仿宋" w:eastAsia="仿宋" w:hAnsi="仿宋" w:hint="eastAsia"/>
          <w:sz w:val="32"/>
          <w:szCs w:val="32"/>
        </w:rPr>
        <w:t>。</w:t>
      </w:r>
    </w:p>
    <w:p w:rsidR="00FB7B1A" w:rsidRDefault="00A57848">
      <w:pPr>
        <w:spacing w:line="600" w:lineRule="exact"/>
        <w:ind w:firstLine="640"/>
        <w:outlineLvl w:val="1"/>
        <w:rPr>
          <w:rStyle w:val="2Char"/>
          <w:rFonts w:ascii="黑体" w:eastAsia="黑体" w:hAnsi="黑体"/>
          <w:b w:val="0"/>
        </w:rPr>
      </w:pPr>
      <w:bookmarkStart w:id="48" w:name="_Toc15396609"/>
      <w:bookmarkStart w:id="49" w:name="_Toc15377215"/>
      <w:bookmarkStart w:id="50" w:name="_Toc115080911"/>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8"/>
      <w:bookmarkEnd w:id="49"/>
      <w:bookmarkEnd w:id="50"/>
    </w:p>
    <w:p w:rsidR="00FB7B1A" w:rsidRDefault="00A57848">
      <w:pPr>
        <w:spacing w:line="600" w:lineRule="exact"/>
        <w:ind w:firstLine="640"/>
        <w:outlineLvl w:val="2"/>
        <w:rPr>
          <w:rFonts w:ascii="仿宋" w:eastAsia="仿宋" w:hAnsi="仿宋"/>
          <w:b/>
          <w:sz w:val="32"/>
          <w:szCs w:val="32"/>
        </w:rPr>
      </w:pPr>
      <w:bookmarkStart w:id="51" w:name="_Toc15377216"/>
      <w:bookmarkStart w:id="52" w:name="_Toc115080912"/>
      <w:r>
        <w:rPr>
          <w:rFonts w:ascii="仿宋" w:eastAsia="仿宋" w:hAnsi="仿宋" w:hint="eastAsia"/>
          <w:b/>
          <w:sz w:val="32"/>
          <w:szCs w:val="32"/>
        </w:rPr>
        <w:lastRenderedPageBreak/>
        <w:t>（一）“三公”经费财政拨款支出决算总体情况说明</w:t>
      </w:r>
      <w:bookmarkEnd w:id="51"/>
      <w:bookmarkEnd w:id="52"/>
    </w:p>
    <w:p w:rsidR="00FB7B1A" w:rsidRDefault="00A57848">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sidR="0054493B">
        <w:rPr>
          <w:rFonts w:ascii="仿宋" w:eastAsia="仿宋" w:hAnsi="仿宋" w:hint="eastAsia"/>
          <w:sz w:val="32"/>
          <w:szCs w:val="32"/>
        </w:rPr>
        <w:t>9.2</w:t>
      </w:r>
      <w:r>
        <w:rPr>
          <w:rFonts w:ascii="仿宋" w:eastAsia="仿宋" w:hAnsi="仿宋" w:hint="eastAsia"/>
          <w:sz w:val="32"/>
          <w:szCs w:val="32"/>
        </w:rPr>
        <w:t>万元，完成预算</w:t>
      </w:r>
      <w:r w:rsidR="005955DC">
        <w:rPr>
          <w:rFonts w:ascii="仿宋" w:eastAsia="仿宋" w:hAnsi="仿宋"/>
          <w:sz w:val="32"/>
          <w:szCs w:val="32"/>
        </w:rPr>
        <w:t>100</w:t>
      </w:r>
      <w:r>
        <w:rPr>
          <w:rFonts w:ascii="仿宋" w:eastAsia="仿宋" w:hAnsi="仿宋"/>
          <w:sz w:val="32"/>
          <w:szCs w:val="32"/>
        </w:rPr>
        <w:t>%</w:t>
      </w:r>
      <w:r>
        <w:rPr>
          <w:rFonts w:ascii="仿宋" w:eastAsia="仿宋" w:hAnsi="仿宋" w:hint="eastAsia"/>
          <w:sz w:val="32"/>
          <w:szCs w:val="32"/>
        </w:rPr>
        <w:t>。</w:t>
      </w:r>
    </w:p>
    <w:p w:rsidR="00FB7B1A" w:rsidRDefault="00A57848">
      <w:pPr>
        <w:spacing w:line="600" w:lineRule="exact"/>
        <w:ind w:firstLine="640"/>
        <w:outlineLvl w:val="2"/>
        <w:rPr>
          <w:rFonts w:ascii="仿宋" w:eastAsia="仿宋" w:hAnsi="仿宋"/>
          <w:b/>
          <w:sz w:val="32"/>
          <w:szCs w:val="32"/>
        </w:rPr>
      </w:pPr>
      <w:bookmarkStart w:id="53" w:name="_Toc15377217"/>
      <w:bookmarkStart w:id="54" w:name="_Toc115080913"/>
      <w:r>
        <w:rPr>
          <w:rFonts w:ascii="仿宋" w:eastAsia="仿宋" w:hAnsi="仿宋" w:hint="eastAsia"/>
          <w:b/>
          <w:sz w:val="32"/>
          <w:szCs w:val="32"/>
        </w:rPr>
        <w:t>（二）“三公”经费财政拨款支出决算具体情况说明</w:t>
      </w:r>
      <w:bookmarkEnd w:id="53"/>
      <w:bookmarkEnd w:id="54"/>
    </w:p>
    <w:p w:rsidR="00D6365E" w:rsidRDefault="00A57848" w:rsidP="00D6365E">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sidR="00E97603">
        <w:rPr>
          <w:rFonts w:ascii="仿宋" w:eastAsia="仿宋" w:hAnsi="仿宋"/>
          <w:sz w:val="32"/>
          <w:szCs w:val="32"/>
        </w:rPr>
        <w:t>0</w:t>
      </w:r>
      <w:r>
        <w:rPr>
          <w:rFonts w:ascii="仿宋" w:eastAsia="仿宋" w:hAnsi="仿宋" w:hint="eastAsia"/>
          <w:sz w:val="32"/>
          <w:szCs w:val="32"/>
        </w:rPr>
        <w:t>万元，占</w:t>
      </w:r>
      <w:r w:rsidR="00E97603">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54493B">
        <w:rPr>
          <w:rFonts w:ascii="仿宋" w:eastAsia="仿宋" w:hAnsi="仿宋" w:hint="eastAsia"/>
          <w:sz w:val="32"/>
          <w:szCs w:val="32"/>
        </w:rPr>
        <w:t>3.5</w:t>
      </w:r>
      <w:r>
        <w:rPr>
          <w:rFonts w:ascii="仿宋" w:eastAsia="仿宋" w:hAnsi="仿宋" w:hint="eastAsia"/>
          <w:sz w:val="32"/>
          <w:szCs w:val="32"/>
        </w:rPr>
        <w:t>万元，占</w:t>
      </w:r>
      <w:r w:rsidR="0054493B">
        <w:rPr>
          <w:rFonts w:ascii="仿宋" w:eastAsia="仿宋" w:hAnsi="仿宋" w:hint="eastAsia"/>
          <w:sz w:val="32"/>
          <w:szCs w:val="32"/>
        </w:rPr>
        <w:t>38.04</w:t>
      </w:r>
      <w:r>
        <w:rPr>
          <w:rFonts w:ascii="仿宋" w:eastAsia="仿宋" w:hAnsi="仿宋"/>
          <w:sz w:val="32"/>
          <w:szCs w:val="32"/>
        </w:rPr>
        <w:t>%</w:t>
      </w:r>
      <w:r>
        <w:rPr>
          <w:rFonts w:ascii="仿宋" w:eastAsia="仿宋" w:hAnsi="仿宋" w:hint="eastAsia"/>
          <w:sz w:val="32"/>
          <w:szCs w:val="32"/>
        </w:rPr>
        <w:t>；公务接待费支出决算</w:t>
      </w:r>
      <w:r w:rsidR="0054493B">
        <w:rPr>
          <w:rFonts w:ascii="仿宋" w:eastAsia="仿宋" w:hAnsi="仿宋" w:hint="eastAsia"/>
          <w:sz w:val="32"/>
          <w:szCs w:val="32"/>
        </w:rPr>
        <w:t>5.7</w:t>
      </w:r>
      <w:r>
        <w:rPr>
          <w:rFonts w:ascii="仿宋" w:eastAsia="仿宋" w:hAnsi="仿宋" w:hint="eastAsia"/>
          <w:sz w:val="32"/>
          <w:szCs w:val="32"/>
        </w:rPr>
        <w:t>万元，占</w:t>
      </w:r>
      <w:r w:rsidR="0054493B">
        <w:rPr>
          <w:rFonts w:ascii="仿宋" w:eastAsia="仿宋" w:hAnsi="仿宋" w:hint="eastAsia"/>
          <w:sz w:val="32"/>
          <w:szCs w:val="32"/>
        </w:rPr>
        <w:t>61.96</w:t>
      </w:r>
      <w:r>
        <w:rPr>
          <w:rFonts w:ascii="仿宋" w:eastAsia="仿宋" w:hAnsi="仿宋"/>
          <w:sz w:val="32"/>
          <w:szCs w:val="32"/>
        </w:rPr>
        <w:t>%</w:t>
      </w:r>
      <w:r>
        <w:rPr>
          <w:rFonts w:ascii="仿宋" w:eastAsia="仿宋" w:hAnsi="仿宋" w:hint="eastAsia"/>
          <w:sz w:val="32"/>
          <w:szCs w:val="32"/>
        </w:rPr>
        <w:t>。具体情况如下：</w:t>
      </w:r>
    </w:p>
    <w:p w:rsidR="0054493B" w:rsidRPr="0054493B" w:rsidRDefault="0054493B" w:rsidP="0054493B">
      <w:pPr>
        <w:pStyle w:val="a0"/>
        <w:spacing w:before="93"/>
      </w:pPr>
      <w:r>
        <w:rPr>
          <w:noProof/>
        </w:rPr>
        <w:drawing>
          <wp:inline distT="0" distB="0" distL="0" distR="0">
            <wp:extent cx="4316095" cy="1987550"/>
            <wp:effectExtent l="0" t="0" r="825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6095" cy="1987550"/>
                    </a:xfrm>
                    <a:prstGeom prst="rect">
                      <a:avLst/>
                    </a:prstGeom>
                    <a:noFill/>
                  </pic:spPr>
                </pic:pic>
              </a:graphicData>
            </a:graphic>
          </wp:inline>
        </w:drawing>
      </w:r>
    </w:p>
    <w:p w:rsidR="00FB7B1A" w:rsidRDefault="00A57848">
      <w:pPr>
        <w:spacing w:line="600" w:lineRule="exact"/>
        <w:ind w:firstLine="640"/>
        <w:rPr>
          <w:rFonts w:ascii="仿宋" w:eastAsia="仿宋" w:hAnsi="仿宋"/>
          <w:sz w:val="32"/>
          <w:szCs w:val="32"/>
        </w:rPr>
      </w:pPr>
      <w:r w:rsidRPr="00D6365E">
        <w:rPr>
          <w:rFonts w:ascii="仿宋" w:eastAsia="仿宋" w:hAnsi="仿宋" w:hint="eastAsia"/>
          <w:sz w:val="32"/>
          <w:szCs w:val="32"/>
        </w:rPr>
        <w:t>（图7</w:t>
      </w:r>
      <w:r w:rsidR="00D6365E" w:rsidRPr="00D6365E">
        <w:rPr>
          <w:rFonts w:ascii="仿宋" w:eastAsia="仿宋" w:hAnsi="仿宋" w:hint="eastAsia"/>
          <w:sz w:val="32"/>
          <w:szCs w:val="32"/>
        </w:rPr>
        <w:t>：“三公”经费财政拨款支出结构）</w:t>
      </w:r>
    </w:p>
    <w:p w:rsidR="00745F13" w:rsidRDefault="00A57848" w:rsidP="00745F13">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E97603">
        <w:rPr>
          <w:rFonts w:ascii="仿宋_GB2312" w:eastAsia="仿宋_GB2312"/>
          <w:sz w:val="32"/>
          <w:szCs w:val="32"/>
        </w:rPr>
        <w:t>0</w:t>
      </w:r>
      <w:r w:rsidR="004C3C74">
        <w:rPr>
          <w:rFonts w:ascii="仿宋_GB2312" w:eastAsia="仿宋_GB2312" w:hint="eastAsia"/>
          <w:sz w:val="32"/>
          <w:szCs w:val="32"/>
        </w:rPr>
        <w:t>万元</w:t>
      </w:r>
      <w:bookmarkStart w:id="55" w:name="_GoBack"/>
      <w:bookmarkEnd w:id="55"/>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sidR="00E97603">
        <w:rPr>
          <w:rFonts w:ascii="仿宋_GB2312" w:eastAsia="仿宋_GB2312"/>
          <w:sz w:val="32"/>
          <w:szCs w:val="32"/>
        </w:rPr>
        <w:t>0</w:t>
      </w:r>
      <w:r>
        <w:rPr>
          <w:rFonts w:ascii="仿宋_GB2312" w:eastAsia="仿宋_GB2312" w:hint="eastAsia"/>
          <w:sz w:val="32"/>
          <w:szCs w:val="32"/>
        </w:rPr>
        <w:t>次，出国（境）</w:t>
      </w:r>
      <w:r w:rsidR="00E97603">
        <w:rPr>
          <w:rFonts w:ascii="仿宋_GB2312" w:eastAsia="仿宋_GB2312"/>
          <w:sz w:val="32"/>
          <w:szCs w:val="32"/>
        </w:rPr>
        <w:t>0</w:t>
      </w:r>
      <w:r>
        <w:rPr>
          <w:rFonts w:ascii="仿宋_GB2312" w:eastAsia="仿宋_GB2312" w:hint="eastAsia"/>
          <w:sz w:val="32"/>
          <w:szCs w:val="32"/>
        </w:rPr>
        <w:t>人。因公出国（境）支出决算比</w:t>
      </w:r>
      <w:r>
        <w:rPr>
          <w:rFonts w:ascii="仿宋_GB2312" w:eastAsia="仿宋_GB2312"/>
          <w:sz w:val="32"/>
          <w:szCs w:val="32"/>
        </w:rPr>
        <w:t>20</w:t>
      </w:r>
      <w:r>
        <w:rPr>
          <w:rFonts w:ascii="仿宋_GB2312" w:eastAsia="仿宋_GB2312" w:hint="eastAsia"/>
          <w:sz w:val="32"/>
          <w:szCs w:val="32"/>
        </w:rPr>
        <w:t>20年</w:t>
      </w:r>
      <w:r w:rsidR="00930844" w:rsidRPr="00930844">
        <w:rPr>
          <w:rFonts w:ascii="仿宋_GB2312" w:eastAsia="仿宋_GB2312" w:hint="eastAsia"/>
          <w:color w:val="000000" w:themeColor="text1"/>
          <w:sz w:val="32"/>
          <w:szCs w:val="32"/>
        </w:rPr>
        <w:t>无变化</w:t>
      </w:r>
      <w:r w:rsidR="00745F13">
        <w:rPr>
          <w:rFonts w:ascii="仿宋_GB2312" w:eastAsia="仿宋_GB2312" w:hint="eastAsia"/>
          <w:sz w:val="32"/>
          <w:szCs w:val="32"/>
        </w:rPr>
        <w:t>。</w:t>
      </w:r>
    </w:p>
    <w:p w:rsidR="00FB7B1A" w:rsidRDefault="00A57848">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54493B">
        <w:rPr>
          <w:rFonts w:ascii="仿宋_GB2312" w:eastAsia="仿宋_GB2312" w:hint="eastAsia"/>
          <w:sz w:val="32"/>
          <w:szCs w:val="32"/>
        </w:rPr>
        <w:t>3.</w:t>
      </w:r>
      <w:r w:rsidR="00BE097D">
        <w:rPr>
          <w:rFonts w:ascii="仿宋_GB2312" w:eastAsia="仿宋_GB2312" w:hint="eastAsia"/>
          <w:sz w:val="32"/>
          <w:szCs w:val="32"/>
        </w:rPr>
        <w:t>5</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E097D">
        <w:rPr>
          <w:rStyle w:val="a7"/>
          <w:rFonts w:ascii="仿宋" w:eastAsia="仿宋" w:hAnsi="仿宋" w:hint="eastAsia"/>
          <w:b w:val="0"/>
          <w:bCs/>
          <w:sz w:val="32"/>
          <w:szCs w:val="32"/>
        </w:rPr>
        <w:t>43.75</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w:t>
      </w:r>
      <w:r w:rsidR="00BE097D">
        <w:rPr>
          <w:rFonts w:ascii="仿宋_GB2312" w:eastAsia="仿宋_GB2312" w:hint="eastAsia"/>
          <w:sz w:val="32"/>
          <w:szCs w:val="32"/>
        </w:rPr>
        <w:t>增加0.16</w:t>
      </w:r>
      <w:r>
        <w:rPr>
          <w:rFonts w:ascii="仿宋_GB2312" w:eastAsia="仿宋_GB2312" w:hint="eastAsia"/>
          <w:sz w:val="32"/>
          <w:szCs w:val="32"/>
        </w:rPr>
        <w:t>万元，</w:t>
      </w:r>
      <w:r w:rsidR="00BE097D">
        <w:rPr>
          <w:rFonts w:ascii="仿宋_GB2312" w:eastAsia="仿宋_GB2312" w:hint="eastAsia"/>
          <w:sz w:val="32"/>
          <w:szCs w:val="32"/>
        </w:rPr>
        <w:t>增加4.8</w:t>
      </w:r>
      <w:r>
        <w:rPr>
          <w:rFonts w:ascii="仿宋_GB2312" w:eastAsia="仿宋_GB2312"/>
          <w:sz w:val="32"/>
          <w:szCs w:val="32"/>
        </w:rPr>
        <w:t>%</w:t>
      </w:r>
      <w:r w:rsidR="00BE097D">
        <w:rPr>
          <w:rFonts w:ascii="仿宋_GB2312" w:eastAsia="仿宋_GB2312" w:hint="eastAsia"/>
          <w:sz w:val="32"/>
          <w:szCs w:val="32"/>
        </w:rPr>
        <w:t>。基本持平</w:t>
      </w:r>
    </w:p>
    <w:p w:rsidR="00FB7B1A" w:rsidRDefault="00A57848">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E97603">
        <w:rPr>
          <w:rFonts w:ascii="仿宋_GB2312" w:eastAsia="仿宋_GB2312"/>
          <w:sz w:val="32"/>
          <w:szCs w:val="32"/>
        </w:rPr>
        <w:t>0</w:t>
      </w:r>
      <w:r>
        <w:rPr>
          <w:rFonts w:ascii="仿宋_GB2312" w:eastAsia="仿宋_GB2312" w:hint="eastAsia"/>
          <w:sz w:val="32"/>
          <w:szCs w:val="32"/>
        </w:rPr>
        <w:t>万元。全年按规定更新购置公务用车</w:t>
      </w:r>
      <w:r w:rsidR="00E97603">
        <w:rPr>
          <w:rFonts w:ascii="仿宋_GB2312" w:eastAsia="仿宋_GB2312"/>
          <w:sz w:val="32"/>
          <w:szCs w:val="32"/>
        </w:rPr>
        <w:t>0</w:t>
      </w:r>
      <w:r>
        <w:rPr>
          <w:rFonts w:ascii="仿宋_GB2312" w:eastAsia="仿宋_GB2312" w:hint="eastAsia"/>
          <w:sz w:val="32"/>
          <w:szCs w:val="32"/>
        </w:rPr>
        <w:t>辆，其中：轿车</w:t>
      </w:r>
      <w:r w:rsidR="00E97603">
        <w:rPr>
          <w:rFonts w:ascii="仿宋_GB2312" w:eastAsia="仿宋_GB2312"/>
          <w:sz w:val="32"/>
          <w:szCs w:val="32"/>
        </w:rPr>
        <w:t>0</w:t>
      </w:r>
      <w:r>
        <w:rPr>
          <w:rFonts w:ascii="仿宋_GB2312" w:eastAsia="仿宋_GB2312" w:hint="eastAsia"/>
          <w:sz w:val="32"/>
          <w:szCs w:val="32"/>
        </w:rPr>
        <w:t>辆、金额</w:t>
      </w:r>
      <w:r w:rsidR="00E97603">
        <w:rPr>
          <w:rFonts w:ascii="仿宋_GB2312" w:eastAsia="仿宋_GB2312"/>
          <w:sz w:val="32"/>
          <w:szCs w:val="32"/>
        </w:rPr>
        <w:t>0</w:t>
      </w:r>
      <w:r>
        <w:rPr>
          <w:rFonts w:ascii="仿宋_GB2312" w:eastAsia="仿宋_GB2312" w:hint="eastAsia"/>
          <w:sz w:val="32"/>
          <w:szCs w:val="32"/>
        </w:rPr>
        <w:t>万元，越野车</w:t>
      </w:r>
      <w:r w:rsidR="00E97603">
        <w:rPr>
          <w:rFonts w:ascii="仿宋_GB2312" w:eastAsia="仿宋_GB2312"/>
          <w:sz w:val="32"/>
          <w:szCs w:val="32"/>
        </w:rPr>
        <w:t>0</w:t>
      </w:r>
      <w:r>
        <w:rPr>
          <w:rFonts w:ascii="仿宋_GB2312" w:eastAsia="仿宋_GB2312" w:hint="eastAsia"/>
          <w:sz w:val="32"/>
          <w:szCs w:val="32"/>
        </w:rPr>
        <w:t>辆、</w:t>
      </w:r>
      <w:r>
        <w:rPr>
          <w:rFonts w:ascii="仿宋_GB2312" w:eastAsia="仿宋_GB2312" w:hint="eastAsia"/>
          <w:sz w:val="32"/>
          <w:szCs w:val="32"/>
        </w:rPr>
        <w:lastRenderedPageBreak/>
        <w:t>金额</w:t>
      </w:r>
      <w:r w:rsidR="00E97603">
        <w:rPr>
          <w:rFonts w:ascii="仿宋_GB2312" w:eastAsia="仿宋_GB2312"/>
          <w:sz w:val="32"/>
          <w:szCs w:val="32"/>
        </w:rPr>
        <w:t>0</w:t>
      </w:r>
      <w:r>
        <w:rPr>
          <w:rFonts w:ascii="仿宋_GB2312" w:eastAsia="仿宋_GB2312" w:hint="eastAsia"/>
          <w:sz w:val="32"/>
          <w:szCs w:val="32"/>
        </w:rPr>
        <w:t>万元，载客汽车</w:t>
      </w:r>
      <w:r w:rsidR="00E97603">
        <w:rPr>
          <w:rFonts w:ascii="仿宋_GB2312" w:eastAsia="仿宋_GB2312"/>
          <w:sz w:val="32"/>
          <w:szCs w:val="32"/>
        </w:rPr>
        <w:t>0</w:t>
      </w:r>
      <w:r>
        <w:rPr>
          <w:rFonts w:ascii="仿宋_GB2312" w:eastAsia="仿宋_GB2312" w:hint="eastAsia"/>
          <w:sz w:val="32"/>
          <w:szCs w:val="32"/>
        </w:rPr>
        <w:t>辆、金额</w:t>
      </w:r>
      <w:r w:rsidR="00E97603">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sidR="00E97603">
        <w:rPr>
          <w:rFonts w:ascii="仿宋_GB2312" w:eastAsia="仿宋_GB2312"/>
          <w:sz w:val="32"/>
          <w:szCs w:val="32"/>
        </w:rPr>
        <w:t>1</w:t>
      </w:r>
      <w:r>
        <w:rPr>
          <w:rFonts w:ascii="仿宋_GB2312" w:eastAsia="仿宋_GB2312" w:hint="eastAsia"/>
          <w:sz w:val="32"/>
          <w:szCs w:val="32"/>
        </w:rPr>
        <w:t>辆，其中：轿车</w:t>
      </w:r>
      <w:r w:rsidR="00E97603">
        <w:rPr>
          <w:rFonts w:ascii="仿宋_GB2312" w:eastAsia="仿宋_GB2312"/>
          <w:sz w:val="32"/>
          <w:szCs w:val="32"/>
        </w:rPr>
        <w:t>0</w:t>
      </w:r>
      <w:r>
        <w:rPr>
          <w:rFonts w:ascii="仿宋_GB2312" w:eastAsia="仿宋_GB2312" w:hint="eastAsia"/>
          <w:sz w:val="32"/>
          <w:szCs w:val="32"/>
        </w:rPr>
        <w:t>辆、越野车</w:t>
      </w:r>
      <w:r w:rsidR="00E97603">
        <w:rPr>
          <w:rFonts w:ascii="仿宋_GB2312" w:eastAsia="仿宋_GB2312"/>
          <w:sz w:val="32"/>
          <w:szCs w:val="32"/>
        </w:rPr>
        <w:t>1</w:t>
      </w:r>
      <w:r>
        <w:rPr>
          <w:rFonts w:ascii="仿宋_GB2312" w:eastAsia="仿宋_GB2312" w:hint="eastAsia"/>
          <w:sz w:val="32"/>
          <w:szCs w:val="32"/>
        </w:rPr>
        <w:t>辆、载客汽车</w:t>
      </w:r>
      <w:r w:rsidR="00E97603">
        <w:rPr>
          <w:rFonts w:ascii="仿宋_GB2312" w:eastAsia="仿宋_GB2312"/>
          <w:sz w:val="32"/>
          <w:szCs w:val="32"/>
        </w:rPr>
        <w:t>0</w:t>
      </w:r>
      <w:r>
        <w:rPr>
          <w:rFonts w:ascii="仿宋_GB2312" w:eastAsia="仿宋_GB2312" w:hint="eastAsia"/>
          <w:sz w:val="32"/>
          <w:szCs w:val="32"/>
        </w:rPr>
        <w:t>辆。</w:t>
      </w:r>
    </w:p>
    <w:p w:rsidR="00FB7B1A" w:rsidRDefault="00A57848">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sidR="00BE097D">
        <w:rPr>
          <w:rFonts w:ascii="仿宋_GB2312" w:eastAsia="仿宋_GB2312" w:hint="eastAsia"/>
          <w:sz w:val="32"/>
          <w:szCs w:val="32"/>
        </w:rPr>
        <w:t>3.5</w:t>
      </w:r>
      <w:r>
        <w:rPr>
          <w:rFonts w:ascii="仿宋_GB2312" w:eastAsia="仿宋_GB2312" w:hint="eastAsia"/>
          <w:sz w:val="32"/>
          <w:szCs w:val="32"/>
        </w:rPr>
        <w:t>万元。主要用于</w:t>
      </w:r>
      <w:r w:rsidR="009541CC">
        <w:rPr>
          <w:rFonts w:ascii="仿宋_GB2312" w:eastAsia="仿宋_GB2312" w:hint="eastAsia"/>
          <w:color w:val="000000"/>
          <w:sz w:val="32"/>
          <w:szCs w:val="32"/>
        </w:rPr>
        <w:t>开会、培训及与其他单位的紧急业务交流等出差</w:t>
      </w:r>
      <w:r>
        <w:rPr>
          <w:rFonts w:ascii="仿宋_GB2312" w:eastAsia="仿宋_GB2312" w:hint="eastAsia"/>
          <w:sz w:val="32"/>
          <w:szCs w:val="32"/>
        </w:rPr>
        <w:t>所需的公务用车燃料费、维修费、过路过桥费、保险费等支出。</w:t>
      </w:r>
    </w:p>
    <w:p w:rsidR="00FB7B1A" w:rsidRDefault="00A57848">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sidR="00BE097D">
        <w:rPr>
          <w:rFonts w:ascii="仿宋_GB2312" w:eastAsia="仿宋_GB2312" w:hint="eastAsia"/>
          <w:sz w:val="32"/>
          <w:szCs w:val="32"/>
        </w:rPr>
        <w:t>5.7</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E097D">
        <w:rPr>
          <w:rStyle w:val="a7"/>
          <w:rFonts w:ascii="仿宋" w:eastAsia="仿宋" w:hAnsi="仿宋" w:hint="eastAsia"/>
          <w:b w:val="0"/>
          <w:bCs/>
          <w:sz w:val="32"/>
          <w:szCs w:val="32"/>
        </w:rPr>
        <w:t>57</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w:t>
      </w:r>
      <w:r w:rsidR="00BE097D">
        <w:rPr>
          <w:rFonts w:ascii="仿宋_GB2312" w:eastAsia="仿宋_GB2312" w:hint="eastAsia"/>
          <w:sz w:val="32"/>
          <w:szCs w:val="32"/>
        </w:rPr>
        <w:t>增加1.76</w:t>
      </w:r>
      <w:r>
        <w:rPr>
          <w:rFonts w:ascii="仿宋_GB2312" w:eastAsia="仿宋_GB2312" w:hint="eastAsia"/>
          <w:sz w:val="32"/>
          <w:szCs w:val="32"/>
        </w:rPr>
        <w:t>万元，</w:t>
      </w:r>
      <w:r w:rsidR="00672218">
        <w:rPr>
          <w:rFonts w:ascii="仿宋_GB2312" w:eastAsia="仿宋_GB2312" w:hint="eastAsia"/>
          <w:sz w:val="32"/>
          <w:szCs w:val="32"/>
        </w:rPr>
        <w:t>增加44.67</w:t>
      </w:r>
      <w:r>
        <w:rPr>
          <w:rFonts w:ascii="仿宋_GB2312" w:eastAsia="仿宋_GB2312"/>
          <w:sz w:val="32"/>
          <w:szCs w:val="32"/>
        </w:rPr>
        <w:t>%</w:t>
      </w:r>
      <w:r>
        <w:rPr>
          <w:rFonts w:ascii="仿宋_GB2312" w:eastAsia="仿宋_GB2312" w:hint="eastAsia"/>
          <w:sz w:val="32"/>
          <w:szCs w:val="32"/>
        </w:rPr>
        <w:t>。主要原因是</w:t>
      </w:r>
      <w:r w:rsidR="00672218">
        <w:rPr>
          <w:rFonts w:ascii="仿宋_GB2312" w:eastAsia="仿宋_GB2312" w:hint="eastAsia"/>
          <w:sz w:val="32"/>
          <w:szCs w:val="32"/>
        </w:rPr>
        <w:t>增加</w:t>
      </w:r>
      <w:r w:rsidR="009541CC">
        <w:rPr>
          <w:rFonts w:ascii="仿宋_GB2312" w:eastAsia="仿宋_GB2312" w:hint="eastAsia"/>
          <w:sz w:val="32"/>
          <w:szCs w:val="32"/>
        </w:rPr>
        <w:t>了</w:t>
      </w:r>
      <w:r w:rsidR="00672218">
        <w:rPr>
          <w:rFonts w:ascii="仿宋_GB2312" w:eastAsia="仿宋_GB2312" w:hint="eastAsia"/>
          <w:color w:val="000000"/>
          <w:sz w:val="32"/>
          <w:szCs w:val="32"/>
        </w:rPr>
        <w:t>双城经济圈职教活动周活动</w:t>
      </w:r>
      <w:r w:rsidR="009541CC">
        <w:rPr>
          <w:rFonts w:ascii="仿宋_GB2312" w:eastAsia="仿宋_GB2312" w:hint="eastAsia"/>
          <w:color w:val="000000"/>
          <w:sz w:val="32"/>
          <w:szCs w:val="32"/>
        </w:rPr>
        <w:t>的组织、其他中学及单位到我校交流的接待安排</w:t>
      </w:r>
      <w:r>
        <w:rPr>
          <w:rFonts w:ascii="仿宋_GB2312" w:eastAsia="仿宋_GB2312" w:hint="eastAsia"/>
          <w:sz w:val="32"/>
          <w:szCs w:val="32"/>
        </w:rPr>
        <w:t>。其中：</w:t>
      </w:r>
    </w:p>
    <w:p w:rsidR="00FB7B1A" w:rsidRPr="009541CC" w:rsidRDefault="00A57848" w:rsidP="009541CC">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672218">
        <w:rPr>
          <w:rFonts w:ascii="仿宋" w:eastAsia="仿宋" w:hAnsi="仿宋" w:hint="eastAsia"/>
          <w:sz w:val="32"/>
          <w:szCs w:val="32"/>
        </w:rPr>
        <w:t>5.7</w:t>
      </w:r>
      <w:r>
        <w:rPr>
          <w:rFonts w:ascii="仿宋_GB2312" w:eastAsia="仿宋_GB2312" w:hint="eastAsia"/>
          <w:sz w:val="32"/>
          <w:szCs w:val="32"/>
        </w:rPr>
        <w:t>万元，主要用于</w:t>
      </w:r>
      <w:r w:rsidR="004B778B">
        <w:rPr>
          <w:rFonts w:ascii="仿宋_GB2312" w:eastAsia="仿宋_GB2312" w:hint="eastAsia"/>
          <w:color w:val="000000"/>
          <w:sz w:val="32"/>
          <w:szCs w:val="32"/>
        </w:rPr>
        <w:t>其他中学及单位到我校交流</w:t>
      </w:r>
      <w:r w:rsidRPr="004B778B">
        <w:rPr>
          <w:rFonts w:ascii="仿宋_GB2312" w:eastAsia="仿宋_GB2312" w:hint="eastAsia"/>
          <w:sz w:val="32"/>
          <w:szCs w:val="32"/>
        </w:rPr>
        <w:t>开展业务活动开支的交通费、住宿费、用餐费等)</w:t>
      </w:r>
      <w:r>
        <w:rPr>
          <w:rFonts w:ascii="仿宋_GB2312" w:eastAsia="仿宋_GB2312" w:hint="eastAsia"/>
          <w:sz w:val="32"/>
          <w:szCs w:val="32"/>
        </w:rPr>
        <w:t>。国内公务接待</w:t>
      </w:r>
      <w:r w:rsidR="00672218">
        <w:rPr>
          <w:rFonts w:ascii="仿宋_GB2312" w:eastAsia="仿宋_GB2312" w:hint="eastAsia"/>
          <w:sz w:val="32"/>
          <w:szCs w:val="32"/>
        </w:rPr>
        <w:t>52</w:t>
      </w:r>
      <w:r>
        <w:rPr>
          <w:rFonts w:ascii="仿宋_GB2312" w:eastAsia="仿宋_GB2312" w:hint="eastAsia"/>
          <w:sz w:val="32"/>
          <w:szCs w:val="32"/>
        </w:rPr>
        <w:t>批次，</w:t>
      </w:r>
      <w:r w:rsidR="00672218">
        <w:rPr>
          <w:rFonts w:ascii="仿宋_GB2312" w:eastAsia="仿宋_GB2312" w:hint="eastAsia"/>
          <w:sz w:val="32"/>
          <w:szCs w:val="32"/>
        </w:rPr>
        <w:t>445</w:t>
      </w:r>
      <w:r>
        <w:rPr>
          <w:rFonts w:ascii="仿宋_GB2312" w:eastAsia="仿宋_GB2312" w:hint="eastAsia"/>
          <w:sz w:val="32"/>
          <w:szCs w:val="32"/>
        </w:rPr>
        <w:t>人次（不包括陪同人员），</w:t>
      </w:r>
      <w:r w:rsidRPr="00D6365E">
        <w:rPr>
          <w:rFonts w:ascii="仿宋_GB2312" w:eastAsia="仿宋_GB2312" w:hint="eastAsia"/>
          <w:sz w:val="32"/>
          <w:szCs w:val="32"/>
        </w:rPr>
        <w:t>共计支出</w:t>
      </w:r>
      <w:r w:rsidR="00672218">
        <w:rPr>
          <w:rFonts w:ascii="仿宋_GB2312" w:eastAsia="仿宋_GB2312" w:hint="eastAsia"/>
          <w:sz w:val="32"/>
          <w:szCs w:val="32"/>
        </w:rPr>
        <w:t>5.7</w:t>
      </w:r>
      <w:r w:rsidRPr="00D6365E">
        <w:rPr>
          <w:rFonts w:ascii="仿宋_GB2312" w:eastAsia="仿宋_GB2312" w:hint="eastAsia"/>
          <w:sz w:val="32"/>
          <w:szCs w:val="32"/>
        </w:rPr>
        <w:t>万元</w:t>
      </w:r>
      <w:r>
        <w:rPr>
          <w:rFonts w:ascii="仿宋_GB2312" w:eastAsia="仿宋_GB2312" w:hint="eastAsia"/>
          <w:sz w:val="32"/>
          <w:szCs w:val="32"/>
        </w:rPr>
        <w:t>。</w:t>
      </w:r>
      <w:bookmarkStart w:id="56" w:name="_Toc15396610"/>
      <w:bookmarkStart w:id="57" w:name="_Toc15377218"/>
    </w:p>
    <w:p w:rsidR="00FB7B1A" w:rsidRDefault="00A57848">
      <w:pPr>
        <w:spacing w:line="600" w:lineRule="exact"/>
        <w:ind w:firstLine="640"/>
        <w:outlineLvl w:val="1"/>
        <w:rPr>
          <w:rStyle w:val="2Char"/>
          <w:rFonts w:ascii="黑体" w:eastAsia="黑体" w:hAnsi="黑体"/>
        </w:rPr>
      </w:pPr>
      <w:bookmarkStart w:id="58" w:name="_Toc115080914"/>
      <w:r>
        <w:rPr>
          <w:rFonts w:ascii="黑体" w:eastAsia="黑体" w:hint="eastAsia"/>
          <w:sz w:val="32"/>
          <w:szCs w:val="32"/>
        </w:rPr>
        <w:t>八、</w:t>
      </w:r>
      <w:r>
        <w:rPr>
          <w:rStyle w:val="2Char"/>
          <w:rFonts w:ascii="黑体" w:eastAsia="黑体" w:hAnsi="黑体" w:hint="eastAsia"/>
          <w:b w:val="0"/>
        </w:rPr>
        <w:t>政府性基金预算支出决算情况说明</w:t>
      </w:r>
      <w:bookmarkEnd w:id="56"/>
      <w:bookmarkEnd w:id="57"/>
      <w:bookmarkEnd w:id="58"/>
    </w:p>
    <w:p w:rsidR="00FB7B1A" w:rsidRDefault="00A57848" w:rsidP="00D6365E">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672218">
        <w:rPr>
          <w:rFonts w:ascii="仿宋_GB2312" w:eastAsia="仿宋_GB2312" w:hint="eastAsia"/>
          <w:sz w:val="32"/>
          <w:szCs w:val="32"/>
        </w:rPr>
        <w:t>50</w:t>
      </w:r>
      <w:r>
        <w:rPr>
          <w:rFonts w:ascii="仿宋_GB2312" w:eastAsia="仿宋_GB2312" w:hint="eastAsia"/>
          <w:sz w:val="32"/>
          <w:szCs w:val="32"/>
        </w:rPr>
        <w:t>万元</w:t>
      </w:r>
      <w:r w:rsidR="00E25D9A">
        <w:rPr>
          <w:rFonts w:ascii="仿宋_GB2312" w:eastAsia="仿宋_GB2312" w:hint="eastAsia"/>
          <w:sz w:val="32"/>
          <w:szCs w:val="32"/>
        </w:rPr>
        <w:t>，</w:t>
      </w:r>
      <w:r w:rsidR="00E25D9A">
        <w:rPr>
          <w:rFonts w:ascii="仿宋_GB2312" w:eastAsia="仿宋_GB2312" w:hint="eastAsia"/>
          <w:color w:val="000000"/>
          <w:sz w:val="32"/>
          <w:szCs w:val="32"/>
        </w:rPr>
        <w:t>全部是用于体育事业的彩票公益金</w:t>
      </w:r>
      <w:r>
        <w:rPr>
          <w:rFonts w:ascii="仿宋_GB2312" w:eastAsia="仿宋_GB2312" w:hint="eastAsia"/>
          <w:sz w:val="32"/>
          <w:szCs w:val="32"/>
        </w:rPr>
        <w:t>。</w:t>
      </w:r>
    </w:p>
    <w:p w:rsidR="00FB7B1A" w:rsidRDefault="00A57848">
      <w:pPr>
        <w:numPr>
          <w:ilvl w:val="0"/>
          <w:numId w:val="2"/>
        </w:numPr>
        <w:spacing w:line="600" w:lineRule="exact"/>
        <w:ind w:firstLine="640"/>
        <w:outlineLvl w:val="1"/>
        <w:rPr>
          <w:rStyle w:val="2Char"/>
          <w:rFonts w:ascii="黑体" w:eastAsia="黑体" w:hAnsi="黑体"/>
          <w:b w:val="0"/>
        </w:rPr>
      </w:pPr>
      <w:bookmarkStart w:id="59" w:name="_Toc15377219"/>
      <w:bookmarkStart w:id="60" w:name="_Toc15396611"/>
      <w:bookmarkStart w:id="61" w:name="_Toc115080915"/>
      <w:r>
        <w:rPr>
          <w:rStyle w:val="2Char"/>
          <w:rFonts w:ascii="黑体" w:eastAsia="黑体" w:hAnsi="黑体" w:hint="eastAsia"/>
          <w:b w:val="0"/>
        </w:rPr>
        <w:t>国有资本经营预算支出决算情况说明</w:t>
      </w:r>
      <w:bookmarkEnd w:id="59"/>
      <w:bookmarkEnd w:id="60"/>
      <w:bookmarkEnd w:id="61"/>
    </w:p>
    <w:p w:rsidR="00FB7B1A" w:rsidRPr="00D6365E" w:rsidRDefault="00A57848" w:rsidP="00D6365E">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9541CC">
        <w:rPr>
          <w:rFonts w:ascii="仿宋_GB2312" w:eastAsia="仿宋_GB2312" w:hint="eastAsia"/>
          <w:color w:val="000000"/>
          <w:sz w:val="32"/>
          <w:szCs w:val="32"/>
        </w:rPr>
        <w:t>没有国有资本经营预算拨款支出</w:t>
      </w:r>
      <w:r>
        <w:rPr>
          <w:rFonts w:ascii="仿宋_GB2312" w:eastAsia="仿宋_GB2312" w:hint="eastAsia"/>
          <w:sz w:val="32"/>
          <w:szCs w:val="32"/>
        </w:rPr>
        <w:t>。</w:t>
      </w:r>
    </w:p>
    <w:p w:rsidR="00FB7B1A" w:rsidRDefault="00A57848">
      <w:pPr>
        <w:numPr>
          <w:ilvl w:val="0"/>
          <w:numId w:val="2"/>
        </w:numPr>
        <w:spacing w:line="600" w:lineRule="exact"/>
        <w:ind w:firstLine="640"/>
        <w:outlineLvl w:val="1"/>
        <w:rPr>
          <w:rStyle w:val="2Char"/>
          <w:rFonts w:ascii="黑体" w:eastAsia="黑体" w:hAnsi="黑体"/>
          <w:b w:val="0"/>
        </w:rPr>
      </w:pPr>
      <w:bookmarkStart w:id="62" w:name="_Toc15396612"/>
      <w:bookmarkStart w:id="63" w:name="_Toc15377221"/>
      <w:bookmarkStart w:id="64" w:name="_Toc115080916"/>
      <w:r>
        <w:rPr>
          <w:rStyle w:val="2Char"/>
          <w:rFonts w:ascii="黑体" w:eastAsia="黑体" w:hAnsi="黑体" w:hint="eastAsia"/>
          <w:b w:val="0"/>
        </w:rPr>
        <w:t>其他重要事项的情况说明</w:t>
      </w:r>
      <w:bookmarkEnd w:id="62"/>
      <w:bookmarkEnd w:id="63"/>
      <w:bookmarkEnd w:id="64"/>
    </w:p>
    <w:p w:rsidR="00FB7B1A" w:rsidRDefault="00A57848">
      <w:pPr>
        <w:spacing w:line="600" w:lineRule="exact"/>
        <w:ind w:firstLineChars="200" w:firstLine="643"/>
        <w:outlineLvl w:val="2"/>
        <w:rPr>
          <w:rFonts w:ascii="仿宋" w:eastAsia="仿宋" w:hAnsi="仿宋"/>
          <w:sz w:val="32"/>
          <w:szCs w:val="32"/>
        </w:rPr>
      </w:pPr>
      <w:bookmarkStart w:id="65" w:name="_Toc15377222"/>
      <w:bookmarkStart w:id="66" w:name="_Toc115080917"/>
      <w:r>
        <w:rPr>
          <w:rFonts w:ascii="仿宋" w:eastAsia="仿宋" w:hAnsi="仿宋" w:hint="eastAsia"/>
          <w:b/>
          <w:sz w:val="32"/>
          <w:szCs w:val="32"/>
        </w:rPr>
        <w:t>（一）机关运行经费支出情况</w:t>
      </w:r>
      <w:bookmarkEnd w:id="65"/>
      <w:bookmarkEnd w:id="66"/>
    </w:p>
    <w:p w:rsidR="00FB7B1A" w:rsidRDefault="00A57848">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E25D9A" w:rsidRPr="00930844">
        <w:rPr>
          <w:rFonts w:ascii="仿宋_GB2312" w:eastAsia="仿宋_GB2312" w:hint="eastAsia"/>
          <w:color w:val="000000"/>
          <w:sz w:val="32"/>
          <w:szCs w:val="32"/>
        </w:rPr>
        <w:t>宜宾市</w:t>
      </w:r>
      <w:r w:rsidR="00930844" w:rsidRPr="00930844">
        <w:rPr>
          <w:rFonts w:ascii="仿宋_GB2312" w:eastAsia="仿宋_GB2312" w:hint="eastAsia"/>
          <w:color w:val="000000"/>
          <w:sz w:val="32"/>
          <w:szCs w:val="32"/>
        </w:rPr>
        <w:t>职业技术学校</w:t>
      </w:r>
      <w:r w:rsidR="00E25D9A">
        <w:rPr>
          <w:rFonts w:ascii="仿宋_GB2312" w:eastAsia="仿宋_GB2312" w:hint="eastAsia"/>
          <w:color w:val="000000"/>
          <w:sz w:val="32"/>
          <w:szCs w:val="32"/>
        </w:rPr>
        <w:t>机关运行经费支出0万元，与</w:t>
      </w:r>
      <w:r w:rsidR="00E25D9A">
        <w:rPr>
          <w:rFonts w:ascii="仿宋_GB2312" w:eastAsia="仿宋_GB2312"/>
          <w:color w:val="000000"/>
          <w:sz w:val="32"/>
          <w:szCs w:val="32"/>
        </w:rPr>
        <w:t>2020</w:t>
      </w:r>
      <w:r w:rsidR="00E25D9A">
        <w:rPr>
          <w:rFonts w:ascii="仿宋_GB2312" w:eastAsia="仿宋_GB2312" w:hint="eastAsia"/>
          <w:color w:val="000000"/>
          <w:sz w:val="32"/>
          <w:szCs w:val="32"/>
        </w:rPr>
        <w:t>年决算数持平。</w:t>
      </w:r>
    </w:p>
    <w:p w:rsidR="00FB7B1A" w:rsidRDefault="00A57848">
      <w:pPr>
        <w:autoSpaceDE w:val="0"/>
        <w:autoSpaceDN w:val="0"/>
        <w:adjustRightInd w:val="0"/>
        <w:spacing w:line="600" w:lineRule="exact"/>
        <w:ind w:firstLineChars="200" w:firstLine="643"/>
        <w:jc w:val="left"/>
        <w:outlineLvl w:val="2"/>
        <w:rPr>
          <w:rFonts w:ascii="仿宋" w:eastAsia="仿宋" w:hAnsi="仿宋"/>
          <w:b/>
          <w:sz w:val="32"/>
          <w:szCs w:val="32"/>
        </w:rPr>
      </w:pPr>
      <w:bookmarkStart w:id="67" w:name="_Toc15377223"/>
      <w:bookmarkStart w:id="68" w:name="_Toc115080918"/>
      <w:r>
        <w:rPr>
          <w:rFonts w:ascii="仿宋" w:eastAsia="仿宋" w:hAnsi="仿宋" w:hint="eastAsia"/>
          <w:b/>
          <w:sz w:val="32"/>
          <w:szCs w:val="32"/>
        </w:rPr>
        <w:lastRenderedPageBreak/>
        <w:t>（二）政府采购支出情况</w:t>
      </w:r>
      <w:bookmarkEnd w:id="67"/>
      <w:bookmarkEnd w:id="68"/>
    </w:p>
    <w:p w:rsidR="00FB7B1A" w:rsidRDefault="00A57848">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930844" w:rsidRPr="00930844">
        <w:rPr>
          <w:rFonts w:ascii="仿宋_GB2312" w:eastAsia="仿宋_GB2312" w:hint="eastAsia"/>
          <w:color w:val="000000"/>
          <w:sz w:val="32"/>
          <w:szCs w:val="32"/>
        </w:rPr>
        <w:t>宜宾市职业技术学校</w:t>
      </w:r>
      <w:r>
        <w:rPr>
          <w:rFonts w:ascii="仿宋_GB2312" w:eastAsia="仿宋_GB2312" w:hint="eastAsia"/>
          <w:sz w:val="32"/>
          <w:szCs w:val="32"/>
        </w:rPr>
        <w:t>政府采购支出总额</w:t>
      </w:r>
      <w:r w:rsidR="00672218">
        <w:rPr>
          <w:rFonts w:ascii="仿宋_GB2312" w:eastAsia="仿宋_GB2312" w:hint="eastAsia"/>
          <w:sz w:val="32"/>
          <w:szCs w:val="32"/>
        </w:rPr>
        <w:t>1090.65</w:t>
      </w:r>
      <w:r>
        <w:rPr>
          <w:rFonts w:ascii="仿宋_GB2312" w:eastAsia="仿宋_GB2312" w:hint="eastAsia"/>
          <w:sz w:val="32"/>
          <w:szCs w:val="32"/>
        </w:rPr>
        <w:t>万元，其中：政府采购货物支出</w:t>
      </w:r>
      <w:r w:rsidR="00672218">
        <w:rPr>
          <w:rFonts w:ascii="仿宋_GB2312" w:eastAsia="仿宋_GB2312" w:hint="eastAsia"/>
          <w:sz w:val="32"/>
          <w:szCs w:val="32"/>
        </w:rPr>
        <w:t>815.65</w:t>
      </w:r>
      <w:r>
        <w:rPr>
          <w:rFonts w:ascii="仿宋_GB2312" w:eastAsia="仿宋_GB2312" w:hint="eastAsia"/>
          <w:sz w:val="32"/>
          <w:szCs w:val="32"/>
        </w:rPr>
        <w:t>万元、政府采购工程支出</w:t>
      </w:r>
      <w:r w:rsidR="00E25D9A">
        <w:rPr>
          <w:rFonts w:ascii="仿宋_GB2312" w:eastAsia="仿宋_GB2312" w:hint="eastAsia"/>
          <w:sz w:val="32"/>
          <w:szCs w:val="32"/>
        </w:rPr>
        <w:t>0</w:t>
      </w:r>
      <w:r>
        <w:rPr>
          <w:rFonts w:ascii="仿宋_GB2312" w:eastAsia="仿宋_GB2312" w:hint="eastAsia"/>
          <w:sz w:val="32"/>
          <w:szCs w:val="32"/>
        </w:rPr>
        <w:t>万元、政府采购服务支出</w:t>
      </w:r>
      <w:r w:rsidR="00672218">
        <w:rPr>
          <w:rFonts w:ascii="仿宋_GB2312" w:eastAsia="仿宋_GB2312" w:hint="eastAsia"/>
          <w:sz w:val="32"/>
          <w:szCs w:val="32"/>
        </w:rPr>
        <w:t>275</w:t>
      </w:r>
      <w:r>
        <w:rPr>
          <w:rFonts w:ascii="仿宋_GB2312" w:eastAsia="仿宋_GB2312" w:hint="eastAsia"/>
          <w:sz w:val="32"/>
          <w:szCs w:val="32"/>
        </w:rPr>
        <w:t>万元。主要用于</w:t>
      </w:r>
      <w:r w:rsidR="00B36EF6">
        <w:rPr>
          <w:rFonts w:ascii="仿宋_GB2312" w:eastAsia="仿宋_GB2312" w:hint="eastAsia"/>
          <w:sz w:val="32"/>
          <w:szCs w:val="32"/>
        </w:rPr>
        <w:t>学校实训及教学用设备采购，办公用品购置</w:t>
      </w:r>
      <w:r w:rsidR="00E25D9A">
        <w:rPr>
          <w:rFonts w:ascii="仿宋_GB2312" w:eastAsia="仿宋_GB2312" w:hint="eastAsia"/>
          <w:color w:val="000000"/>
          <w:sz w:val="32"/>
          <w:szCs w:val="32"/>
        </w:rPr>
        <w:t>等</w:t>
      </w:r>
      <w:r>
        <w:rPr>
          <w:rFonts w:ascii="仿宋_GB2312" w:eastAsia="仿宋_GB2312" w:hint="eastAsia"/>
          <w:sz w:val="32"/>
          <w:szCs w:val="32"/>
        </w:rPr>
        <w:t>。授予中小企业合同金额</w:t>
      </w:r>
      <w:r w:rsidR="00B36EF6">
        <w:rPr>
          <w:rFonts w:ascii="仿宋_GB2312" w:eastAsia="仿宋_GB2312" w:hint="eastAsia"/>
          <w:sz w:val="32"/>
          <w:szCs w:val="32"/>
        </w:rPr>
        <w:t>1090.65</w:t>
      </w:r>
      <w:r>
        <w:rPr>
          <w:rFonts w:ascii="仿宋_GB2312" w:eastAsia="仿宋_GB2312" w:hint="eastAsia"/>
          <w:sz w:val="32"/>
          <w:szCs w:val="32"/>
        </w:rPr>
        <w:t>万元，占政府采购支出总额的</w:t>
      </w:r>
      <w:r w:rsidR="00E25D9A">
        <w:rPr>
          <w:rFonts w:ascii="仿宋_GB2312" w:eastAsia="仿宋_GB2312"/>
          <w:sz w:val="32"/>
          <w:szCs w:val="32"/>
        </w:rPr>
        <w:t>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sidR="00B36EF6">
        <w:rPr>
          <w:rFonts w:ascii="仿宋_GB2312" w:eastAsia="仿宋_GB2312" w:hint="eastAsia"/>
          <w:sz w:val="32"/>
          <w:szCs w:val="32"/>
        </w:rPr>
        <w:t>1090.65</w:t>
      </w:r>
      <w:r>
        <w:rPr>
          <w:rFonts w:ascii="仿宋_GB2312" w:eastAsia="仿宋_GB2312" w:hint="eastAsia"/>
          <w:sz w:val="32"/>
          <w:szCs w:val="32"/>
        </w:rPr>
        <w:t>万元，占政府采购支出总额的</w:t>
      </w:r>
      <w:r w:rsidR="00E25D9A">
        <w:rPr>
          <w:rFonts w:ascii="仿宋_GB2312" w:eastAsia="仿宋_GB2312"/>
          <w:sz w:val="32"/>
          <w:szCs w:val="32"/>
        </w:rPr>
        <w:t>100</w:t>
      </w:r>
      <w:r>
        <w:rPr>
          <w:rFonts w:ascii="仿宋_GB2312" w:eastAsia="仿宋_GB2312"/>
          <w:sz w:val="32"/>
          <w:szCs w:val="32"/>
        </w:rPr>
        <w:t>%</w:t>
      </w:r>
      <w:r>
        <w:rPr>
          <w:rFonts w:ascii="仿宋_GB2312" w:eastAsia="仿宋_GB2312" w:hint="eastAsia"/>
          <w:sz w:val="32"/>
          <w:szCs w:val="32"/>
        </w:rPr>
        <w:t>。</w:t>
      </w:r>
    </w:p>
    <w:p w:rsidR="00FB7B1A" w:rsidRDefault="00A57848">
      <w:pPr>
        <w:autoSpaceDE w:val="0"/>
        <w:autoSpaceDN w:val="0"/>
        <w:adjustRightInd w:val="0"/>
        <w:spacing w:line="600" w:lineRule="exact"/>
        <w:ind w:firstLineChars="200" w:firstLine="643"/>
        <w:jc w:val="left"/>
        <w:outlineLvl w:val="2"/>
        <w:rPr>
          <w:rFonts w:ascii="仿宋" w:eastAsia="仿宋" w:hAnsi="仿宋"/>
          <w:b/>
          <w:sz w:val="32"/>
          <w:szCs w:val="32"/>
        </w:rPr>
      </w:pPr>
      <w:bookmarkStart w:id="69" w:name="_Toc15377224"/>
      <w:bookmarkStart w:id="70" w:name="_Toc115080919"/>
      <w:r>
        <w:rPr>
          <w:rFonts w:ascii="仿宋" w:eastAsia="仿宋" w:hAnsi="仿宋" w:hint="eastAsia"/>
          <w:b/>
          <w:sz w:val="32"/>
          <w:szCs w:val="32"/>
        </w:rPr>
        <w:t>（三）国有资产占有使用情况</w:t>
      </w:r>
      <w:bookmarkEnd w:id="69"/>
      <w:bookmarkEnd w:id="70"/>
    </w:p>
    <w:p w:rsidR="00FB7B1A" w:rsidRPr="00D6365E" w:rsidRDefault="00A57848" w:rsidP="00D6365E">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930844" w:rsidRPr="00930844">
        <w:rPr>
          <w:rFonts w:ascii="仿宋_GB2312" w:eastAsia="仿宋_GB2312" w:hint="eastAsia"/>
          <w:color w:val="000000"/>
          <w:sz w:val="32"/>
          <w:szCs w:val="32"/>
        </w:rPr>
        <w:t>宜宾市职业技术学校</w:t>
      </w:r>
      <w:r>
        <w:rPr>
          <w:rFonts w:ascii="仿宋_GB2312" w:eastAsia="仿宋_GB2312" w:hint="eastAsia"/>
          <w:sz w:val="32"/>
          <w:szCs w:val="32"/>
        </w:rPr>
        <w:t>共有车辆</w:t>
      </w:r>
      <w:r w:rsidR="00E25D9A">
        <w:rPr>
          <w:rFonts w:ascii="仿宋_GB2312" w:eastAsia="仿宋_GB2312"/>
          <w:sz w:val="32"/>
          <w:szCs w:val="32"/>
        </w:rPr>
        <w:t>1</w:t>
      </w:r>
      <w:r>
        <w:rPr>
          <w:rFonts w:ascii="仿宋_GB2312" w:eastAsia="仿宋_GB2312" w:hint="eastAsia"/>
          <w:sz w:val="32"/>
          <w:szCs w:val="32"/>
        </w:rPr>
        <w:t>辆，其中：主要领导干部用车</w:t>
      </w:r>
      <w:r w:rsidR="00E25D9A">
        <w:rPr>
          <w:rFonts w:ascii="仿宋_GB2312" w:eastAsia="仿宋_GB2312"/>
          <w:sz w:val="32"/>
          <w:szCs w:val="32"/>
        </w:rPr>
        <w:t>0</w:t>
      </w:r>
      <w:r>
        <w:rPr>
          <w:rFonts w:ascii="仿宋_GB2312" w:eastAsia="仿宋_GB2312" w:hint="eastAsia"/>
          <w:sz w:val="32"/>
          <w:szCs w:val="32"/>
        </w:rPr>
        <w:t>辆、机要通信用车</w:t>
      </w:r>
      <w:r w:rsidR="00E25D9A">
        <w:rPr>
          <w:rFonts w:ascii="仿宋_GB2312" w:eastAsia="仿宋_GB2312"/>
          <w:sz w:val="32"/>
          <w:szCs w:val="32"/>
        </w:rPr>
        <w:t>0</w:t>
      </w:r>
      <w:r>
        <w:rPr>
          <w:rFonts w:ascii="仿宋_GB2312" w:eastAsia="仿宋_GB2312" w:hint="eastAsia"/>
          <w:sz w:val="32"/>
          <w:szCs w:val="32"/>
        </w:rPr>
        <w:t>辆、应急保障用车</w:t>
      </w:r>
      <w:r w:rsidR="00E25D9A">
        <w:rPr>
          <w:rFonts w:ascii="仿宋_GB2312" w:eastAsia="仿宋_GB2312"/>
          <w:sz w:val="32"/>
          <w:szCs w:val="32"/>
        </w:rPr>
        <w:t>1</w:t>
      </w:r>
      <w:r>
        <w:rPr>
          <w:rFonts w:ascii="仿宋_GB2312" w:eastAsia="仿宋_GB2312" w:hint="eastAsia"/>
          <w:sz w:val="32"/>
          <w:szCs w:val="32"/>
        </w:rPr>
        <w:t>辆、其他用车</w:t>
      </w:r>
      <w:r w:rsidR="00E25D9A">
        <w:rPr>
          <w:rFonts w:ascii="仿宋_GB2312" w:eastAsia="仿宋_GB2312"/>
          <w:sz w:val="32"/>
          <w:szCs w:val="32"/>
        </w:rPr>
        <w:t>0</w:t>
      </w:r>
      <w:r>
        <w:rPr>
          <w:rFonts w:ascii="仿宋_GB2312" w:eastAsia="仿宋_GB2312" w:hint="eastAsia"/>
          <w:sz w:val="32"/>
          <w:szCs w:val="32"/>
        </w:rPr>
        <w:t>辆</w:t>
      </w:r>
      <w:r w:rsidR="00E25D9A">
        <w:rPr>
          <w:rFonts w:ascii="仿宋_GB2312" w:eastAsia="仿宋_GB2312" w:hint="eastAsia"/>
          <w:sz w:val="32"/>
          <w:szCs w:val="32"/>
        </w:rPr>
        <w:t>。</w:t>
      </w:r>
      <w:r w:rsidRPr="00F04745">
        <w:rPr>
          <w:rFonts w:ascii="仿宋_GB2312" w:eastAsia="仿宋_GB2312" w:hint="eastAsia"/>
          <w:sz w:val="32"/>
          <w:szCs w:val="32"/>
        </w:rPr>
        <w:t>单价</w:t>
      </w:r>
      <w:r w:rsidRPr="00F04745">
        <w:rPr>
          <w:rFonts w:ascii="仿宋_GB2312" w:eastAsia="仿宋_GB2312"/>
          <w:sz w:val="32"/>
          <w:szCs w:val="32"/>
        </w:rPr>
        <w:t>50</w:t>
      </w:r>
      <w:r w:rsidRPr="00F04745">
        <w:rPr>
          <w:rFonts w:ascii="仿宋_GB2312" w:eastAsia="仿宋_GB2312" w:hint="eastAsia"/>
          <w:sz w:val="32"/>
          <w:szCs w:val="32"/>
        </w:rPr>
        <w:t>万元以上通用设备</w:t>
      </w:r>
      <w:r w:rsidR="00E25D9A" w:rsidRPr="00F04745">
        <w:rPr>
          <w:rFonts w:ascii="仿宋_GB2312" w:eastAsia="仿宋_GB2312"/>
          <w:sz w:val="32"/>
          <w:szCs w:val="32"/>
        </w:rPr>
        <w:t>0</w:t>
      </w:r>
      <w:r w:rsidRPr="00F04745">
        <w:rPr>
          <w:rFonts w:ascii="仿宋_GB2312" w:eastAsia="仿宋_GB2312" w:hint="eastAsia"/>
          <w:sz w:val="32"/>
          <w:szCs w:val="32"/>
        </w:rPr>
        <w:t>台（套），单价</w:t>
      </w:r>
      <w:r w:rsidRPr="00F04745">
        <w:rPr>
          <w:rFonts w:ascii="仿宋_GB2312" w:eastAsia="仿宋_GB2312"/>
          <w:sz w:val="32"/>
          <w:szCs w:val="32"/>
        </w:rPr>
        <w:t>100</w:t>
      </w:r>
      <w:r w:rsidRPr="00F04745">
        <w:rPr>
          <w:rFonts w:ascii="仿宋_GB2312" w:eastAsia="仿宋_GB2312" w:hint="eastAsia"/>
          <w:sz w:val="32"/>
          <w:szCs w:val="32"/>
        </w:rPr>
        <w:t>万元以上专用设备</w:t>
      </w:r>
      <w:r w:rsidR="00E25D9A" w:rsidRPr="00F04745">
        <w:rPr>
          <w:rFonts w:ascii="仿宋_GB2312" w:eastAsia="仿宋_GB2312"/>
          <w:sz w:val="32"/>
          <w:szCs w:val="32"/>
        </w:rPr>
        <w:t>0</w:t>
      </w:r>
      <w:r w:rsidRPr="00F04745">
        <w:rPr>
          <w:rFonts w:ascii="仿宋_GB2312" w:eastAsia="仿宋_GB2312" w:hint="eastAsia"/>
          <w:sz w:val="32"/>
          <w:szCs w:val="32"/>
        </w:rPr>
        <w:t>台（套）。</w:t>
      </w:r>
    </w:p>
    <w:p w:rsidR="00FB7B1A" w:rsidRDefault="00A57848">
      <w:pPr>
        <w:autoSpaceDE w:val="0"/>
        <w:autoSpaceDN w:val="0"/>
        <w:adjustRightInd w:val="0"/>
        <w:spacing w:line="600" w:lineRule="exact"/>
        <w:ind w:firstLineChars="200" w:firstLine="643"/>
        <w:jc w:val="left"/>
        <w:outlineLvl w:val="2"/>
        <w:rPr>
          <w:rFonts w:ascii="仿宋" w:eastAsia="仿宋" w:hAnsi="仿宋"/>
          <w:b/>
          <w:sz w:val="32"/>
          <w:szCs w:val="32"/>
        </w:rPr>
      </w:pPr>
      <w:bookmarkStart w:id="71" w:name="_Toc115080920"/>
      <w:r>
        <w:rPr>
          <w:rFonts w:ascii="仿宋" w:eastAsia="仿宋" w:hAnsi="仿宋" w:hint="eastAsia"/>
          <w:b/>
          <w:sz w:val="32"/>
          <w:szCs w:val="32"/>
        </w:rPr>
        <w:t>（四）预算绩效管理情况</w:t>
      </w:r>
      <w:bookmarkEnd w:id="71"/>
    </w:p>
    <w:p w:rsidR="00FB7B1A" w:rsidRDefault="00A5784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w:t>
      </w:r>
      <w:r w:rsidR="00477BA3">
        <w:rPr>
          <w:rFonts w:ascii="仿宋_GB2312" w:eastAsia="仿宋_GB2312" w:hAnsi="仿宋_GB2312" w:cs="仿宋_GB2312" w:hint="eastAsia"/>
          <w:sz w:val="32"/>
          <w:szCs w:val="32"/>
        </w:rPr>
        <w:t>“</w:t>
      </w:r>
      <w:r w:rsidR="00D22FF8">
        <w:rPr>
          <w:rFonts w:ascii="仿宋_GB2312" w:eastAsia="仿宋_GB2312" w:hAnsi="仿宋_GB2312" w:cs="仿宋_GB2312" w:hint="eastAsia"/>
          <w:sz w:val="32"/>
          <w:szCs w:val="32"/>
        </w:rPr>
        <w:t>市级外聘教师经费</w:t>
      </w:r>
      <w:r w:rsidR="00477BA3">
        <w:rPr>
          <w:rFonts w:ascii="仿宋_GB2312" w:eastAsia="仿宋_GB2312" w:hAnsi="仿宋_GB2312" w:cs="仿宋_GB2312"/>
          <w:sz w:val="32"/>
          <w:szCs w:val="32"/>
        </w:rPr>
        <w:t>”</w:t>
      </w:r>
      <w:r w:rsidR="00477BA3">
        <w:rPr>
          <w:rFonts w:ascii="仿宋_GB2312" w:eastAsia="仿宋_GB2312" w:hAnsi="仿宋_GB2312" w:cs="仿宋_GB2312" w:hint="eastAsia"/>
          <w:sz w:val="32"/>
          <w:szCs w:val="32"/>
        </w:rPr>
        <w:t>、</w:t>
      </w:r>
      <w:r w:rsidR="005561D0">
        <w:rPr>
          <w:rFonts w:ascii="仿宋_GB2312" w:eastAsia="仿宋_GB2312" w:hAnsi="仿宋_GB2312" w:cs="仿宋_GB2312" w:hint="eastAsia"/>
          <w:sz w:val="32"/>
          <w:szCs w:val="32"/>
        </w:rPr>
        <w:t>“</w:t>
      </w:r>
      <w:r w:rsidR="00DE4F08">
        <w:rPr>
          <w:rFonts w:ascii="仿宋_GB2312" w:eastAsia="仿宋_GB2312" w:hAnsi="仿宋_GB2312" w:cs="仿宋_GB2312" w:hint="eastAsia"/>
          <w:sz w:val="32"/>
          <w:szCs w:val="32"/>
        </w:rPr>
        <w:t>市级</w:t>
      </w:r>
      <w:r w:rsidR="005561D0">
        <w:rPr>
          <w:rFonts w:ascii="仿宋_GB2312" w:eastAsia="仿宋_GB2312" w:hAnsi="仿宋_GB2312" w:cs="仿宋_GB2312" w:hint="eastAsia"/>
          <w:sz w:val="32"/>
          <w:szCs w:val="32"/>
        </w:rPr>
        <w:t>物业管理费”</w:t>
      </w:r>
      <w:r w:rsidR="00477BA3">
        <w:rPr>
          <w:rFonts w:ascii="仿宋_GB2312" w:eastAsia="仿宋_GB2312" w:hAnsi="仿宋_GB2312" w:cs="仿宋_GB2312" w:hint="eastAsia"/>
          <w:sz w:val="32"/>
          <w:szCs w:val="32"/>
        </w:rPr>
        <w:t>、</w:t>
      </w:r>
      <w:r w:rsidR="005561D0">
        <w:rPr>
          <w:rFonts w:ascii="仿宋_GB2312" w:eastAsia="仿宋_GB2312" w:hAnsi="仿宋_GB2312" w:cs="仿宋_GB2312" w:hint="eastAsia"/>
          <w:sz w:val="32"/>
          <w:szCs w:val="32"/>
        </w:rPr>
        <w:t>“校园安全经费”</w:t>
      </w:r>
      <w:r w:rsidR="00477BA3">
        <w:rPr>
          <w:rFonts w:ascii="仿宋_GB2312" w:eastAsia="仿宋_GB2312" w:hAnsi="仿宋_GB2312" w:cs="仿宋_GB2312" w:hint="eastAsia"/>
          <w:sz w:val="32"/>
          <w:szCs w:val="32"/>
        </w:rPr>
        <w:t>、</w:t>
      </w:r>
      <w:r w:rsidR="005561D0">
        <w:rPr>
          <w:rFonts w:ascii="仿宋_GB2312" w:eastAsia="仿宋_GB2312" w:hAnsi="仿宋_GB2312" w:cs="仿宋_GB2312" w:hint="eastAsia"/>
          <w:sz w:val="32"/>
          <w:szCs w:val="32"/>
        </w:rPr>
        <w:t>“</w:t>
      </w:r>
      <w:r w:rsidR="00D22FF8">
        <w:rPr>
          <w:rFonts w:ascii="仿宋_GB2312" w:eastAsia="仿宋_GB2312" w:hAnsi="仿宋_GB2312" w:cs="仿宋_GB2312" w:hint="eastAsia"/>
          <w:sz w:val="32"/>
          <w:szCs w:val="32"/>
        </w:rPr>
        <w:t>市级教育质量以奖代补</w:t>
      </w:r>
      <w:r w:rsidR="005561D0">
        <w:rPr>
          <w:rFonts w:ascii="仿宋_GB2312" w:eastAsia="仿宋_GB2312" w:hAnsi="仿宋_GB2312" w:cs="仿宋_GB2312" w:hint="eastAsia"/>
          <w:sz w:val="32"/>
          <w:szCs w:val="32"/>
        </w:rPr>
        <w:t>”</w:t>
      </w:r>
      <w:r w:rsidR="00D22FF8">
        <w:rPr>
          <w:rFonts w:ascii="仿宋_GB2312" w:eastAsia="仿宋_GB2312" w:hAnsi="仿宋_GB2312" w:cs="仿宋_GB2312" w:hint="eastAsia"/>
          <w:sz w:val="32"/>
          <w:szCs w:val="32"/>
        </w:rPr>
        <w:t>“债务还本经费”</w:t>
      </w:r>
      <w:r>
        <w:rPr>
          <w:rFonts w:ascii="仿宋_GB2312" w:eastAsia="仿宋_GB2312" w:hAnsi="仿宋_GB2312" w:cs="仿宋_GB2312" w:hint="eastAsia"/>
          <w:sz w:val="32"/>
          <w:szCs w:val="32"/>
        </w:rPr>
        <w:t>等</w:t>
      </w:r>
      <w:r w:rsidR="005561D0">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个项目开展了预算事前绩效评估，对</w:t>
      </w:r>
      <w:r w:rsidR="005561D0">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个项目编制了绩效目标，预算执行过程中，选取</w:t>
      </w:r>
      <w:r w:rsidR="005561D0">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sidR="005561D0">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个项目开展了绩效自评，2021年</w:t>
      </w:r>
      <w:r w:rsidR="00D6365E">
        <w:rPr>
          <w:rFonts w:ascii="仿宋_GB2312" w:eastAsia="仿宋_GB2312" w:hAnsi="仿宋_GB2312" w:cs="仿宋_GB2312" w:hint="eastAsia"/>
          <w:sz w:val="32"/>
          <w:szCs w:val="32"/>
        </w:rPr>
        <w:t>1</w:t>
      </w:r>
      <w:r w:rsidR="00D6365E">
        <w:rPr>
          <w:rFonts w:ascii="仿宋_GB2312" w:eastAsia="仿宋_GB2312" w:hAnsi="仿宋_GB2312" w:cs="仿宋_GB2312"/>
          <w:sz w:val="32"/>
          <w:szCs w:val="32"/>
        </w:rPr>
        <w:t>00</w:t>
      </w:r>
      <w:r w:rsidR="00D6365E">
        <w:rPr>
          <w:rFonts w:ascii="仿宋_GB2312" w:eastAsia="仿宋_GB2312" w:hAnsi="仿宋_GB2312" w:cs="仿宋_GB2312" w:hint="eastAsia"/>
          <w:sz w:val="32"/>
          <w:szCs w:val="32"/>
        </w:rPr>
        <w:t>万以上及</w:t>
      </w:r>
      <w:r>
        <w:rPr>
          <w:rFonts w:ascii="仿宋_GB2312" w:eastAsia="仿宋_GB2312" w:hAnsi="仿宋_GB2312" w:cs="仿宋_GB2312" w:hint="eastAsia"/>
          <w:sz w:val="32"/>
          <w:szCs w:val="32"/>
        </w:rPr>
        <w:t>特定目标类部门预算项目绩效目标自评表见附件（第四部分）。</w:t>
      </w:r>
    </w:p>
    <w:p w:rsidR="00FB7B1A" w:rsidRDefault="00A57848">
      <w:pPr>
        <w:autoSpaceDE w:val="0"/>
        <w:autoSpaceDN w:val="0"/>
        <w:adjustRightInd w:val="0"/>
        <w:spacing w:line="600" w:lineRule="exact"/>
        <w:ind w:firstLineChars="200" w:firstLine="643"/>
        <w:rPr>
          <w:rFonts w:ascii="仿宋" w:eastAsia="仿宋" w:hAnsi="仿宋"/>
          <w:b/>
          <w:sz w:val="32"/>
          <w:szCs w:val="32"/>
        </w:rPr>
      </w:pPr>
      <w:r>
        <w:rPr>
          <w:rFonts w:ascii="仿宋" w:eastAsia="仿宋" w:hAnsi="仿宋" w:hint="eastAsia"/>
          <w:b/>
          <w:sz w:val="32"/>
          <w:szCs w:val="32"/>
        </w:rPr>
        <w:t>（注：单位</w:t>
      </w:r>
      <w:r>
        <w:rPr>
          <w:rFonts w:ascii="仿宋_GB2312" w:eastAsia="仿宋_GB2312" w:hAnsi="仿宋_GB2312" w:cs="仿宋_GB2312" w:hint="eastAsia"/>
          <w:b/>
          <w:sz w:val="32"/>
          <w:szCs w:val="32"/>
        </w:rPr>
        <w:t>2021年特定目标类部门预算项目绩效目标自</w:t>
      </w:r>
      <w:r>
        <w:rPr>
          <w:rFonts w:ascii="仿宋_GB2312" w:eastAsia="仿宋_GB2312" w:hAnsi="仿宋_GB2312" w:cs="仿宋_GB2312" w:hint="eastAsia"/>
          <w:b/>
          <w:sz w:val="32"/>
          <w:szCs w:val="32"/>
        </w:rPr>
        <w:lastRenderedPageBreak/>
        <w:t>评表为本部门2021年部门整体支出绩效评价报告中涉及本单位的附表</w:t>
      </w:r>
      <w:r>
        <w:rPr>
          <w:rFonts w:ascii="仿宋" w:eastAsia="仿宋" w:hAnsi="仿宋" w:hint="eastAsia"/>
          <w:b/>
          <w:sz w:val="32"/>
          <w:szCs w:val="32"/>
        </w:rPr>
        <w:t>）</w:t>
      </w:r>
    </w:p>
    <w:p w:rsidR="00FB7B1A" w:rsidRDefault="00FB7B1A" w:rsidP="003A2160">
      <w:pPr>
        <w:pStyle w:val="a0"/>
        <w:spacing w:before="93"/>
        <w:rPr>
          <w:highlight w:val="yellow"/>
        </w:rPr>
      </w:pPr>
    </w:p>
    <w:p w:rsidR="00FB7B1A" w:rsidRDefault="00A57848">
      <w:pPr>
        <w:widowControl/>
        <w:jc w:val="left"/>
        <w:rPr>
          <w:rFonts w:ascii="仿宋_GB2312" w:eastAsia="仿宋_GB2312"/>
          <w:b/>
          <w:sz w:val="32"/>
          <w:szCs w:val="32"/>
        </w:rPr>
      </w:pPr>
      <w:r>
        <w:rPr>
          <w:rFonts w:ascii="仿宋_GB2312" w:eastAsia="仿宋_GB2312"/>
          <w:b/>
          <w:sz w:val="32"/>
          <w:szCs w:val="32"/>
        </w:rPr>
        <w:br w:type="page"/>
      </w:r>
    </w:p>
    <w:p w:rsidR="00FB7B1A" w:rsidRDefault="00A57848">
      <w:pPr>
        <w:numPr>
          <w:ilvl w:val="0"/>
          <w:numId w:val="3"/>
        </w:numPr>
        <w:spacing w:line="600" w:lineRule="exact"/>
        <w:ind w:firstLineChars="150" w:firstLine="660"/>
        <w:jc w:val="center"/>
        <w:outlineLvl w:val="0"/>
        <w:rPr>
          <w:rStyle w:val="1Char"/>
          <w:rFonts w:ascii="黑体" w:eastAsia="黑体" w:hAnsi="黑体"/>
          <w:b w:val="0"/>
        </w:rPr>
      </w:pPr>
      <w:bookmarkStart w:id="72" w:name="_Toc15396613"/>
      <w:bookmarkStart w:id="73" w:name="_Toc15377225"/>
      <w:bookmarkStart w:id="74" w:name="_Toc115080921"/>
      <w:r>
        <w:rPr>
          <w:rFonts w:ascii="黑体" w:eastAsia="黑体" w:hAnsi="黑体" w:hint="eastAsia"/>
          <w:sz w:val="44"/>
          <w:szCs w:val="44"/>
        </w:rPr>
        <w:lastRenderedPageBreak/>
        <w:t>名</w:t>
      </w:r>
      <w:r>
        <w:rPr>
          <w:rStyle w:val="1Char"/>
          <w:rFonts w:ascii="黑体" w:eastAsia="黑体" w:hAnsi="黑体" w:hint="eastAsia"/>
          <w:b w:val="0"/>
        </w:rPr>
        <w:t>词解释</w:t>
      </w:r>
      <w:bookmarkEnd w:id="72"/>
      <w:bookmarkEnd w:id="73"/>
      <w:bookmarkEnd w:id="74"/>
    </w:p>
    <w:p w:rsidR="00FB7B1A" w:rsidRDefault="00FB7B1A">
      <w:pPr>
        <w:spacing w:line="600" w:lineRule="exact"/>
        <w:jc w:val="left"/>
        <w:rPr>
          <w:rFonts w:ascii="宋体"/>
          <w:b/>
          <w:sz w:val="44"/>
          <w:szCs w:val="44"/>
        </w:rPr>
      </w:pP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w:t>
      </w:r>
      <w:r w:rsidR="00477BA3">
        <w:rPr>
          <w:rFonts w:ascii="仿宋_GB2312" w:eastAsia="仿宋_GB2312" w:hint="eastAsia"/>
          <w:sz w:val="32"/>
          <w:szCs w:val="32"/>
        </w:rPr>
        <w:t>学费、住宿费</w:t>
      </w:r>
      <w:r>
        <w:rPr>
          <w:rFonts w:ascii="仿宋_GB2312" w:eastAsia="仿宋_GB2312" w:hint="eastAsia"/>
          <w:color w:val="auto"/>
          <w:sz w:val="32"/>
          <w:szCs w:val="32"/>
        </w:rPr>
        <w:t>等。</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sidR="00DB0F8F">
        <w:rPr>
          <w:rFonts w:ascii="仿宋_GB2312" w:eastAsia="仿宋_GB2312" w:hint="eastAsia"/>
          <w:color w:val="auto"/>
          <w:sz w:val="32"/>
          <w:szCs w:val="32"/>
        </w:rPr>
        <w:t>其他收入：指单位取得的除上述收入以外的各项收入</w:t>
      </w:r>
      <w:r>
        <w:rPr>
          <w:rFonts w:ascii="仿宋_GB2312" w:eastAsia="仿宋_GB2312" w:hint="eastAsia"/>
          <w:color w:val="auto"/>
          <w:sz w:val="32"/>
          <w:szCs w:val="32"/>
        </w:rPr>
        <w:t>。</w:t>
      </w:r>
      <w:r>
        <w:rPr>
          <w:rFonts w:ascii="仿宋_GB2312" w:eastAsia="仿宋_GB2312"/>
          <w:color w:val="auto"/>
          <w:sz w:val="32"/>
          <w:szCs w:val="32"/>
        </w:rPr>
        <w:t xml:space="preserve"> </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FB7B1A" w:rsidRDefault="00A5784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sidR="00DB0F8F">
        <w:rPr>
          <w:rFonts w:ascii="仿宋_GB2312" w:eastAsia="仿宋_GB2312"/>
          <w:color w:val="auto"/>
          <w:sz w:val="32"/>
          <w:szCs w:val="32"/>
        </w:rPr>
        <w:t>.</w:t>
      </w:r>
      <w:r>
        <w:rPr>
          <w:rFonts w:ascii="仿宋_GB2312" w:eastAsia="仿宋_GB2312" w:hint="eastAsia"/>
          <w:color w:val="auto"/>
          <w:sz w:val="32"/>
          <w:szCs w:val="32"/>
        </w:rPr>
        <w:t>年末结转和结余：指单位按有关规定结转到下年或以后年度继续使用的资金。</w:t>
      </w:r>
    </w:p>
    <w:p w:rsidR="00FB7B1A" w:rsidRPr="00DE4F08" w:rsidRDefault="00A57848">
      <w:pPr>
        <w:ind w:firstLineChars="200" w:firstLine="640"/>
        <w:rPr>
          <w:rFonts w:ascii="仿宋_GB2312" w:eastAsia="仿宋_GB2312"/>
          <w:color w:val="000000" w:themeColor="text1"/>
          <w:sz w:val="32"/>
          <w:szCs w:val="32"/>
        </w:rPr>
      </w:pPr>
      <w:r w:rsidRPr="00DE4F08">
        <w:rPr>
          <w:rFonts w:ascii="仿宋_GB2312" w:eastAsia="仿宋_GB2312"/>
          <w:color w:val="000000" w:themeColor="text1"/>
          <w:sz w:val="32"/>
          <w:szCs w:val="32"/>
        </w:rPr>
        <w:t>9.</w:t>
      </w:r>
      <w:r w:rsidR="00DB0F8F" w:rsidRPr="00DE4F08">
        <w:rPr>
          <w:rFonts w:ascii="仿宋_GB2312" w:eastAsia="仿宋_GB2312"/>
          <w:color w:val="000000" w:themeColor="text1"/>
          <w:sz w:val="32"/>
          <w:szCs w:val="32"/>
        </w:rPr>
        <w:t xml:space="preserve"> </w:t>
      </w:r>
      <w:r w:rsidR="00C05A1B" w:rsidRPr="00DE4F08">
        <w:rPr>
          <w:rFonts w:ascii="仿宋_GB2312" w:eastAsia="仿宋_GB2312" w:hint="eastAsia"/>
          <w:color w:val="000000" w:themeColor="text1"/>
          <w:sz w:val="32"/>
          <w:szCs w:val="32"/>
        </w:rPr>
        <w:t>205教育支出(类)03职业教育(款)02中等职业教育(项):反映各部门(不含人力资源社会保障部门)举办的中等职业教育支出。政府各部门对社会组织等举办的中等职业学校的资助，如捐赠、补贴等，也在本科目中反映。</w:t>
      </w:r>
    </w:p>
    <w:p w:rsidR="00C05A1B" w:rsidRDefault="00C05A1B" w:rsidP="00C05A1B">
      <w:pPr>
        <w:pStyle w:val="a0"/>
        <w:spacing w:before="93"/>
        <w:ind w:firstLineChars="200" w:firstLine="600"/>
      </w:pPr>
      <w:r>
        <w:rPr>
          <w:rFonts w:hint="eastAsia"/>
        </w:rPr>
        <w:t>10.</w:t>
      </w:r>
      <w:r w:rsidRPr="00C05A1B">
        <w:rPr>
          <w:rFonts w:hint="eastAsia"/>
        </w:rPr>
        <w:t>205教育支出(类)03职业教育(款)05高等职业教育(项):反映各部门举办的本科、专科层次职业教育支出。政府各部门对社会组织等举办的本科、专科层次职业院校的资助，如捐赠、补</w:t>
      </w:r>
      <w:r w:rsidRPr="00C05A1B">
        <w:rPr>
          <w:rFonts w:hint="eastAsia"/>
        </w:rPr>
        <w:lastRenderedPageBreak/>
        <w:t>贴等，也在本科目中反映。</w:t>
      </w:r>
    </w:p>
    <w:p w:rsidR="00C05A1B" w:rsidRDefault="00C05A1B" w:rsidP="00C05A1B">
      <w:pPr>
        <w:pStyle w:val="a0"/>
        <w:spacing w:before="93"/>
      </w:pPr>
      <w:r>
        <w:rPr>
          <w:rFonts w:hint="eastAsia"/>
        </w:rPr>
        <w:t xml:space="preserve">    11.</w:t>
      </w:r>
      <w:r w:rsidRPr="00C05A1B">
        <w:rPr>
          <w:rFonts w:hint="eastAsia"/>
        </w:rPr>
        <w:t xml:space="preserve"> 205教育支出(类</w:t>
      </w:r>
      <w:r>
        <w:rPr>
          <w:rFonts w:hint="eastAsia"/>
        </w:rPr>
        <w:t>)05广播电视教育</w:t>
      </w:r>
      <w:r w:rsidRPr="00C05A1B">
        <w:rPr>
          <w:rFonts w:hint="eastAsia"/>
        </w:rPr>
        <w:t>(款</w:t>
      </w:r>
      <w:r>
        <w:rPr>
          <w:rFonts w:hint="eastAsia"/>
        </w:rPr>
        <w:t>)05教育电视台</w:t>
      </w:r>
      <w:r w:rsidRPr="00C05A1B">
        <w:rPr>
          <w:rFonts w:hint="eastAsia"/>
        </w:rPr>
        <w:t>(项)</w:t>
      </w:r>
      <w:r>
        <w:rPr>
          <w:rFonts w:hint="eastAsia"/>
        </w:rPr>
        <w:t>：反映教育电视台的支出。</w:t>
      </w:r>
    </w:p>
    <w:p w:rsidR="00C05A1B" w:rsidRPr="00C05A1B" w:rsidRDefault="00C05A1B" w:rsidP="00C05A1B">
      <w:pPr>
        <w:pStyle w:val="a0"/>
        <w:spacing w:before="93"/>
        <w:ind w:firstLineChars="200" w:firstLine="600"/>
      </w:pPr>
      <w:r>
        <w:rPr>
          <w:rFonts w:hint="eastAsia"/>
        </w:rPr>
        <w:t>12.</w:t>
      </w:r>
      <w:r w:rsidRPr="00C05A1B">
        <w:rPr>
          <w:rFonts w:hint="eastAsia"/>
        </w:rPr>
        <w:t xml:space="preserve"> 205教育支出(类</w:t>
      </w:r>
      <w:r>
        <w:rPr>
          <w:rFonts w:hint="eastAsia"/>
        </w:rPr>
        <w:t>)09教育费附加安排的支出</w:t>
      </w:r>
      <w:r w:rsidRPr="00C05A1B">
        <w:rPr>
          <w:rFonts w:hint="eastAsia"/>
        </w:rPr>
        <w:t>(款</w:t>
      </w:r>
      <w:r>
        <w:rPr>
          <w:rFonts w:hint="eastAsia"/>
        </w:rPr>
        <w:t>)99其他教育费附加安排的支出</w:t>
      </w:r>
      <w:r w:rsidRPr="00C05A1B">
        <w:rPr>
          <w:rFonts w:hint="eastAsia"/>
        </w:rPr>
        <w:t>(项)</w:t>
      </w:r>
      <w:r>
        <w:rPr>
          <w:rFonts w:hint="eastAsia"/>
        </w:rPr>
        <w:t>：反映除上述外的教育费附加支出。</w:t>
      </w:r>
    </w:p>
    <w:p w:rsidR="00C05A1B" w:rsidRDefault="00C05A1B" w:rsidP="00C05A1B">
      <w:pPr>
        <w:ind w:firstLineChars="200" w:firstLine="640"/>
        <w:rPr>
          <w:rFonts w:ascii="仿宋_GB2312" w:eastAsia="仿宋_GB2312"/>
          <w:sz w:val="32"/>
          <w:szCs w:val="32"/>
        </w:rPr>
      </w:pPr>
      <w:r>
        <w:rPr>
          <w:rFonts w:ascii="仿宋_GB2312" w:eastAsia="仿宋_GB2312" w:hint="eastAsia"/>
          <w:sz w:val="32"/>
          <w:szCs w:val="32"/>
        </w:rPr>
        <w:t>13.</w:t>
      </w:r>
      <w:r w:rsidRPr="00C05A1B">
        <w:rPr>
          <w:rFonts w:ascii="仿宋_GB2312" w:eastAsia="仿宋_GB2312" w:hint="eastAsia"/>
          <w:sz w:val="32"/>
          <w:szCs w:val="32"/>
        </w:rPr>
        <w:t>208(类)社会保障和就业支出05(款)行政事业单位离退休01(项)行政单位离退休:反映行政单位(包括实行公务员管理的事业单位)开支的离退休经费。</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Pr>
          <w:rFonts w:ascii="仿宋_GB2312" w:eastAsia="仿宋_GB2312"/>
          <w:sz w:val="32"/>
          <w:szCs w:val="32"/>
        </w:rPr>
        <w:t>208(类)社会保障和就业支出05(款)行政事业单位离退休02(项)事业单位离退休:反映事业单位开支的离退休经费。</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Pr>
          <w:rFonts w:ascii="仿宋_GB2312" w:eastAsia="仿宋_GB2312"/>
          <w:sz w:val="32"/>
          <w:szCs w:val="32"/>
        </w:rPr>
        <w:t>208(类)社会保障和就业支出05(款)行政事业单位离退休05(项)机关事业单位基本养老保险缴费支出:反映机关事业单位实施养老保险制度由单位缴纳的基本养老保险费支出。</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6</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sidRPr="00905442">
        <w:rPr>
          <w:rFonts w:ascii="仿宋_GB2312" w:eastAsia="仿宋_GB2312"/>
          <w:sz w:val="32"/>
          <w:szCs w:val="32"/>
        </w:rPr>
        <w:t>208(类)社会保障和就业</w:t>
      </w:r>
      <w:r w:rsidR="00DB0F8F" w:rsidRPr="00905442">
        <w:rPr>
          <w:rFonts w:ascii="仿宋_GB2312" w:eastAsia="仿宋_GB2312" w:hint="eastAsia"/>
          <w:sz w:val="32"/>
          <w:szCs w:val="32"/>
        </w:rPr>
        <w:t>支出</w:t>
      </w:r>
      <w:r w:rsidR="00DB0F8F" w:rsidRPr="00905442">
        <w:rPr>
          <w:rFonts w:ascii="仿宋_GB2312" w:eastAsia="仿宋_GB2312"/>
          <w:sz w:val="32"/>
          <w:szCs w:val="32"/>
        </w:rPr>
        <w:t>05(款)行政事业单位离退休06(项)机关事业单位职业年金缴费支出:反映机关事业单位实施养老保险制度由单位实际缴纳的职业年金支出。</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7</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sidRPr="00905442">
        <w:rPr>
          <w:rFonts w:ascii="仿宋_GB2312" w:eastAsia="仿宋_GB2312"/>
          <w:sz w:val="32"/>
          <w:szCs w:val="32"/>
        </w:rPr>
        <w:t>208(类)社会保障和就业</w:t>
      </w:r>
      <w:r w:rsidR="00DB0F8F" w:rsidRPr="00905442">
        <w:rPr>
          <w:rFonts w:ascii="仿宋_GB2312" w:eastAsia="仿宋_GB2312" w:hint="eastAsia"/>
          <w:sz w:val="32"/>
          <w:szCs w:val="32"/>
        </w:rPr>
        <w:t>支出</w:t>
      </w:r>
      <w:r w:rsidR="00DB0F8F" w:rsidRPr="00905442">
        <w:rPr>
          <w:rFonts w:ascii="仿宋_GB2312" w:eastAsia="仿宋_GB2312"/>
          <w:sz w:val="32"/>
          <w:szCs w:val="32"/>
        </w:rPr>
        <w:t>05(款)行政事业单位离退休</w:t>
      </w:r>
      <w:r w:rsidR="007479CE">
        <w:rPr>
          <w:rFonts w:ascii="仿宋_GB2312" w:eastAsia="仿宋_GB2312"/>
          <w:sz w:val="32"/>
          <w:szCs w:val="32"/>
        </w:rPr>
        <w:t>99</w:t>
      </w:r>
      <w:r w:rsidR="007479CE" w:rsidRPr="00905442">
        <w:rPr>
          <w:rFonts w:ascii="仿宋_GB2312" w:eastAsia="仿宋_GB2312"/>
          <w:sz w:val="32"/>
          <w:szCs w:val="32"/>
        </w:rPr>
        <w:t xml:space="preserve"> </w:t>
      </w:r>
      <w:r w:rsidR="00DB0F8F" w:rsidRPr="00905442">
        <w:rPr>
          <w:rFonts w:ascii="仿宋_GB2312" w:eastAsia="仿宋_GB2312"/>
          <w:sz w:val="32"/>
          <w:szCs w:val="32"/>
        </w:rPr>
        <w:t>(项)</w:t>
      </w:r>
      <w:r w:rsidR="007479CE">
        <w:rPr>
          <w:rFonts w:ascii="仿宋_GB2312" w:eastAsia="仿宋_GB2312" w:hint="eastAsia"/>
          <w:sz w:val="32"/>
          <w:szCs w:val="32"/>
        </w:rPr>
        <w:t>其他行政事业单位养老</w:t>
      </w:r>
      <w:r w:rsidR="00DB0F8F" w:rsidRPr="00905442">
        <w:rPr>
          <w:rFonts w:ascii="仿宋_GB2312" w:eastAsia="仿宋_GB2312"/>
          <w:sz w:val="32"/>
          <w:szCs w:val="32"/>
        </w:rPr>
        <w:t>支出:反映</w:t>
      </w:r>
      <w:r w:rsidR="007479CE">
        <w:rPr>
          <w:rFonts w:ascii="仿宋_GB2312" w:eastAsia="仿宋_GB2312" w:hint="eastAsia"/>
          <w:sz w:val="32"/>
          <w:szCs w:val="32"/>
        </w:rPr>
        <w:t>除上述项目以外其他用于行政</w:t>
      </w:r>
      <w:r w:rsidR="00DB0F8F" w:rsidRPr="00905442">
        <w:rPr>
          <w:rFonts w:ascii="仿宋_GB2312" w:eastAsia="仿宋_GB2312"/>
          <w:sz w:val="32"/>
          <w:szCs w:val="32"/>
        </w:rPr>
        <w:t>事业单位养老</w:t>
      </w:r>
      <w:r w:rsidR="007479CE">
        <w:rPr>
          <w:rFonts w:ascii="仿宋_GB2312" w:eastAsia="仿宋_GB2312" w:hint="eastAsia"/>
          <w:sz w:val="32"/>
          <w:szCs w:val="32"/>
        </w:rPr>
        <w:t>方面的</w:t>
      </w:r>
      <w:r w:rsidR="00DB0F8F" w:rsidRPr="00905442">
        <w:rPr>
          <w:rFonts w:ascii="仿宋_GB2312" w:eastAsia="仿宋_GB2312"/>
          <w:sz w:val="32"/>
          <w:szCs w:val="32"/>
        </w:rPr>
        <w:t>支出。</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8</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sidRPr="00905442">
        <w:rPr>
          <w:rFonts w:ascii="仿宋_GB2312" w:eastAsia="仿宋_GB2312"/>
          <w:sz w:val="32"/>
          <w:szCs w:val="32"/>
        </w:rPr>
        <w:t>210(类)卫生健康支出11(款)行政事业单位医疗</w:t>
      </w:r>
      <w:r w:rsidR="00DB0F8F" w:rsidRPr="00905442">
        <w:rPr>
          <w:rFonts w:ascii="仿宋_GB2312" w:eastAsia="仿宋_GB2312"/>
          <w:sz w:val="32"/>
          <w:szCs w:val="32"/>
        </w:rPr>
        <w:lastRenderedPageBreak/>
        <w:t>02(项)事业单位医疗:反映财政部门安排的事业单位基本医疗</w:t>
      </w:r>
      <w:r w:rsidR="00DB0F8F" w:rsidRPr="00905442">
        <w:rPr>
          <w:rFonts w:ascii="仿宋_GB2312" w:eastAsia="仿宋_GB2312" w:hint="eastAsia"/>
          <w:sz w:val="32"/>
          <w:szCs w:val="32"/>
        </w:rPr>
        <w:t>保险缴费经费，未参加医疗保险的事业单位的公费医疗经费，按国家规定享受离休人员待遇人员的医疗经费。</w:t>
      </w:r>
      <w:r w:rsidR="00A57848">
        <w:rPr>
          <w:rFonts w:ascii="仿宋_GB2312" w:eastAsia="仿宋_GB2312" w:hint="eastAsia"/>
          <w:sz w:val="32"/>
          <w:szCs w:val="32"/>
        </w:rPr>
        <w:t>。</w:t>
      </w:r>
    </w:p>
    <w:p w:rsidR="00FB7B1A" w:rsidRDefault="00C05A1B">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9</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sidRPr="00905442">
        <w:rPr>
          <w:rFonts w:ascii="仿宋_GB2312" w:eastAsia="仿宋_GB2312"/>
          <w:sz w:val="32"/>
          <w:szCs w:val="32"/>
        </w:rPr>
        <w:t>210(类)卫生健康支出11(款)行政事业单位医疗99(项)其他行政事业单位医疗:</w:t>
      </w:r>
      <w:r w:rsidR="007479CE">
        <w:rPr>
          <w:rFonts w:ascii="仿宋_GB2312" w:eastAsia="仿宋_GB2312"/>
          <w:sz w:val="32"/>
          <w:szCs w:val="32"/>
        </w:rPr>
        <w:t>反映除上述项目以外的其他用于行政事业单位医疗方面的支出</w:t>
      </w:r>
      <w:r w:rsidR="00A57848">
        <w:rPr>
          <w:rFonts w:ascii="仿宋_GB2312" w:eastAsia="仿宋_GB2312" w:hint="eastAsia"/>
          <w:sz w:val="32"/>
          <w:szCs w:val="32"/>
        </w:rPr>
        <w:t>。</w:t>
      </w:r>
    </w:p>
    <w:p w:rsidR="00FB7B1A" w:rsidRDefault="00C05A1B">
      <w:pPr>
        <w:ind w:firstLineChars="200" w:firstLine="640"/>
        <w:rPr>
          <w:rFonts w:ascii="仿宋_GB2312" w:eastAsia="仿宋_GB2312"/>
          <w:sz w:val="32"/>
          <w:szCs w:val="32"/>
        </w:rPr>
      </w:pPr>
      <w:r>
        <w:rPr>
          <w:rFonts w:ascii="仿宋_GB2312" w:eastAsia="仿宋_GB2312" w:hint="eastAsia"/>
          <w:sz w:val="32"/>
          <w:szCs w:val="32"/>
        </w:rPr>
        <w:t>20</w:t>
      </w:r>
      <w:r w:rsidR="00A57848">
        <w:rPr>
          <w:rFonts w:ascii="仿宋_GB2312" w:eastAsia="仿宋_GB2312"/>
          <w:sz w:val="32"/>
          <w:szCs w:val="32"/>
        </w:rPr>
        <w:t>.</w:t>
      </w:r>
      <w:r w:rsidR="00DB0F8F" w:rsidRPr="00DB0F8F">
        <w:rPr>
          <w:rFonts w:ascii="仿宋_GB2312" w:eastAsia="仿宋_GB2312"/>
          <w:sz w:val="32"/>
          <w:szCs w:val="32"/>
        </w:rPr>
        <w:t xml:space="preserve"> </w:t>
      </w:r>
      <w:r w:rsidR="00DB0F8F" w:rsidRPr="00905442">
        <w:rPr>
          <w:rFonts w:ascii="仿宋_GB2312" w:eastAsia="仿宋_GB2312"/>
          <w:sz w:val="32"/>
          <w:szCs w:val="32"/>
        </w:rPr>
        <w:t>221(类)住房保障支出02(款)住房改革支出01(项)住房公积金:反映行政事业单位按人力资源和社会保障部、财政部规定的基本工资和津补贴以及规定比例为职工缴纳的住房公积金。</w:t>
      </w:r>
    </w:p>
    <w:p w:rsidR="00FB7B1A" w:rsidRDefault="00C05A1B">
      <w:pPr>
        <w:ind w:firstLineChars="200" w:firstLine="640"/>
        <w:rPr>
          <w:rFonts w:ascii="仿宋_GB2312" w:eastAsia="仿宋_GB2312"/>
          <w:sz w:val="32"/>
          <w:szCs w:val="32"/>
        </w:rPr>
      </w:pPr>
      <w:r>
        <w:rPr>
          <w:rFonts w:ascii="仿宋_GB2312" w:eastAsia="仿宋_GB2312" w:hint="eastAsia"/>
          <w:sz w:val="32"/>
          <w:szCs w:val="32"/>
        </w:rPr>
        <w:t>21</w:t>
      </w:r>
      <w:r w:rsidR="00A57848">
        <w:rPr>
          <w:rFonts w:ascii="仿宋_GB2312" w:eastAsia="仿宋_GB2312"/>
          <w:sz w:val="32"/>
          <w:szCs w:val="32"/>
        </w:rPr>
        <w:t>.</w:t>
      </w:r>
      <w:r w:rsidR="007479CE" w:rsidRPr="007479CE">
        <w:rPr>
          <w:rFonts w:ascii="仿宋_GB2312" w:eastAsia="仿宋_GB2312"/>
          <w:sz w:val="32"/>
          <w:szCs w:val="32"/>
        </w:rPr>
        <w:t xml:space="preserve"> </w:t>
      </w:r>
      <w:r w:rsidR="007479CE" w:rsidRPr="00905442">
        <w:rPr>
          <w:rFonts w:ascii="仿宋_GB2312" w:eastAsia="仿宋_GB2312"/>
          <w:sz w:val="32"/>
          <w:szCs w:val="32"/>
        </w:rPr>
        <w:t>22</w:t>
      </w:r>
      <w:r w:rsidR="007479CE">
        <w:rPr>
          <w:rFonts w:ascii="仿宋_GB2312" w:eastAsia="仿宋_GB2312"/>
          <w:sz w:val="32"/>
          <w:szCs w:val="32"/>
        </w:rPr>
        <w:t>9</w:t>
      </w:r>
      <w:r w:rsidR="007479CE" w:rsidRPr="00905442">
        <w:rPr>
          <w:rFonts w:ascii="仿宋_GB2312" w:eastAsia="仿宋_GB2312"/>
          <w:sz w:val="32"/>
          <w:szCs w:val="32"/>
        </w:rPr>
        <w:t>(类)</w:t>
      </w:r>
      <w:r w:rsidR="007479CE">
        <w:rPr>
          <w:rFonts w:ascii="仿宋_GB2312" w:eastAsia="仿宋_GB2312" w:hint="eastAsia"/>
          <w:sz w:val="32"/>
          <w:szCs w:val="32"/>
        </w:rPr>
        <w:t>其他</w:t>
      </w:r>
      <w:r w:rsidR="007479CE" w:rsidRPr="00905442">
        <w:rPr>
          <w:rFonts w:ascii="仿宋_GB2312" w:eastAsia="仿宋_GB2312"/>
          <w:sz w:val="32"/>
          <w:szCs w:val="32"/>
        </w:rPr>
        <w:t>支出</w:t>
      </w:r>
      <w:r w:rsidR="007479CE">
        <w:rPr>
          <w:rFonts w:ascii="仿宋_GB2312" w:eastAsia="仿宋_GB2312"/>
          <w:sz w:val="32"/>
          <w:szCs w:val="32"/>
        </w:rPr>
        <w:t>60</w:t>
      </w:r>
      <w:r w:rsidR="007479CE" w:rsidRPr="00905442">
        <w:rPr>
          <w:rFonts w:ascii="仿宋_GB2312" w:eastAsia="仿宋_GB2312"/>
          <w:sz w:val="32"/>
          <w:szCs w:val="32"/>
        </w:rPr>
        <w:t>(款)</w:t>
      </w:r>
      <w:r w:rsidR="007479CE">
        <w:rPr>
          <w:rFonts w:ascii="仿宋_GB2312" w:eastAsia="仿宋_GB2312" w:hint="eastAsia"/>
          <w:sz w:val="32"/>
          <w:szCs w:val="32"/>
        </w:rPr>
        <w:t>彩票公益金安排的支出</w:t>
      </w:r>
      <w:r w:rsidR="007479CE">
        <w:rPr>
          <w:rFonts w:ascii="仿宋_GB2312" w:eastAsia="仿宋_GB2312"/>
          <w:sz w:val="32"/>
          <w:szCs w:val="32"/>
        </w:rPr>
        <w:t>03</w:t>
      </w:r>
      <w:r w:rsidR="007479CE" w:rsidRPr="00905442">
        <w:rPr>
          <w:rFonts w:ascii="仿宋_GB2312" w:eastAsia="仿宋_GB2312"/>
          <w:sz w:val="32"/>
          <w:szCs w:val="32"/>
        </w:rPr>
        <w:t>(项)</w:t>
      </w:r>
      <w:r w:rsidR="007479CE">
        <w:rPr>
          <w:rFonts w:ascii="仿宋_GB2312" w:eastAsia="仿宋_GB2312" w:hint="eastAsia"/>
          <w:sz w:val="32"/>
          <w:szCs w:val="32"/>
        </w:rPr>
        <w:t>用于体育事业的彩票公益金支出</w:t>
      </w:r>
      <w:r w:rsidR="007479CE" w:rsidRPr="00905442">
        <w:rPr>
          <w:rFonts w:ascii="仿宋_GB2312" w:eastAsia="仿宋_GB2312"/>
          <w:sz w:val="32"/>
          <w:szCs w:val="32"/>
        </w:rPr>
        <w:t>:反映</w:t>
      </w:r>
      <w:r w:rsidR="007479CE">
        <w:rPr>
          <w:rFonts w:ascii="仿宋_GB2312" w:eastAsia="仿宋_GB2312" w:hint="eastAsia"/>
          <w:sz w:val="32"/>
          <w:szCs w:val="32"/>
        </w:rPr>
        <w:t>用于体育事业的彩票公益金支出。</w:t>
      </w:r>
    </w:p>
    <w:p w:rsidR="00FB7B1A" w:rsidRDefault="00C05A1B">
      <w:pPr>
        <w:ind w:firstLineChars="200" w:firstLine="640"/>
        <w:rPr>
          <w:rFonts w:ascii="仿宋_GB2312" w:eastAsia="仿宋_GB2312"/>
          <w:sz w:val="32"/>
          <w:szCs w:val="32"/>
        </w:rPr>
      </w:pPr>
      <w:r>
        <w:rPr>
          <w:rFonts w:ascii="仿宋_GB2312" w:eastAsia="仿宋_GB2312" w:hint="eastAsia"/>
          <w:sz w:val="32"/>
          <w:szCs w:val="32"/>
        </w:rPr>
        <w:t>22</w:t>
      </w:r>
      <w:r w:rsidR="00A57848">
        <w:rPr>
          <w:rFonts w:ascii="仿宋_GB2312" w:eastAsia="仿宋_GB2312"/>
          <w:sz w:val="32"/>
          <w:szCs w:val="32"/>
        </w:rPr>
        <w:t>.</w:t>
      </w:r>
      <w:r w:rsidR="00A57848">
        <w:rPr>
          <w:rFonts w:ascii="仿宋_GB2312" w:eastAsia="仿宋_GB2312" w:hint="eastAsia"/>
          <w:sz w:val="32"/>
          <w:szCs w:val="32"/>
        </w:rPr>
        <w:t>基本支出：指为保障机构正常运转、完成日常工作任务而发生的人员支出和公用支出。</w:t>
      </w:r>
    </w:p>
    <w:p w:rsidR="00FB7B1A" w:rsidRDefault="00C05A1B">
      <w:pPr>
        <w:ind w:firstLineChars="200" w:firstLine="640"/>
        <w:rPr>
          <w:rFonts w:ascii="仿宋_GB2312" w:eastAsia="仿宋_GB2312"/>
          <w:sz w:val="32"/>
          <w:szCs w:val="32"/>
        </w:rPr>
      </w:pPr>
      <w:r>
        <w:rPr>
          <w:rFonts w:ascii="仿宋_GB2312" w:eastAsia="仿宋_GB2312" w:hint="eastAsia"/>
          <w:sz w:val="32"/>
          <w:szCs w:val="32"/>
        </w:rPr>
        <w:t>23</w:t>
      </w:r>
      <w:r w:rsidR="00A57848">
        <w:rPr>
          <w:rFonts w:ascii="仿宋_GB2312" w:eastAsia="仿宋_GB2312"/>
          <w:sz w:val="32"/>
          <w:szCs w:val="32"/>
        </w:rPr>
        <w:t>.</w:t>
      </w:r>
      <w:r w:rsidR="00A57848">
        <w:rPr>
          <w:rFonts w:ascii="仿宋_GB2312" w:eastAsia="仿宋_GB2312" w:hint="eastAsia"/>
          <w:sz w:val="32"/>
          <w:szCs w:val="32"/>
        </w:rPr>
        <w:t>项目支出：指在基本支出之外为完成特定行政任务和事业发展目标所发生的支出。</w:t>
      </w:r>
      <w:r w:rsidR="00A57848">
        <w:rPr>
          <w:rFonts w:ascii="仿宋_GB2312" w:eastAsia="仿宋_GB2312"/>
          <w:sz w:val="32"/>
          <w:szCs w:val="32"/>
        </w:rPr>
        <w:t xml:space="preserve"> </w:t>
      </w:r>
    </w:p>
    <w:p w:rsidR="00FB7B1A" w:rsidRDefault="00C05A1B">
      <w:pPr>
        <w:ind w:firstLineChars="200" w:firstLine="640"/>
        <w:rPr>
          <w:rFonts w:ascii="仿宋_GB2312" w:eastAsia="仿宋_GB2312"/>
          <w:sz w:val="32"/>
          <w:szCs w:val="32"/>
        </w:rPr>
      </w:pPr>
      <w:r>
        <w:rPr>
          <w:rFonts w:ascii="仿宋_GB2312" w:eastAsia="仿宋_GB2312" w:hint="eastAsia"/>
          <w:sz w:val="32"/>
          <w:szCs w:val="32"/>
        </w:rPr>
        <w:t>24</w:t>
      </w:r>
      <w:r w:rsidR="00A57848">
        <w:rPr>
          <w:rFonts w:ascii="仿宋_GB2312" w:eastAsia="仿宋_GB2312"/>
          <w:sz w:val="32"/>
          <w:szCs w:val="32"/>
        </w:rPr>
        <w:t>.</w:t>
      </w:r>
      <w:r w:rsidR="00A57848">
        <w:rPr>
          <w:rFonts w:ascii="仿宋_GB2312" w:eastAsia="仿宋_GB2312" w:hint="eastAsia"/>
          <w:sz w:val="32"/>
          <w:szCs w:val="32"/>
        </w:rPr>
        <w:t>经营支出：指事业单位在专业业务活动及其辅助活动之外开展非独立核算经营活动发生的支出。</w:t>
      </w:r>
    </w:p>
    <w:p w:rsidR="00FB7B1A" w:rsidRDefault="00C05A1B">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25</w:t>
      </w:r>
      <w:r w:rsidR="00A57848">
        <w:rPr>
          <w:rFonts w:ascii="仿宋_GB2312" w:eastAsia="仿宋_GB2312"/>
          <w:color w:val="auto"/>
          <w:sz w:val="32"/>
          <w:szCs w:val="32"/>
        </w:rPr>
        <w:t>.</w:t>
      </w:r>
      <w:r w:rsidR="00A57848">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sidR="00A57848">
        <w:rPr>
          <w:rFonts w:ascii="仿宋_GB2312" w:eastAsia="仿宋_GB2312" w:hint="eastAsia"/>
          <w:color w:val="auto"/>
          <w:sz w:val="32"/>
          <w:szCs w:val="32"/>
        </w:rPr>
        <w:t>费反映</w:t>
      </w:r>
      <w:proofErr w:type="gramEnd"/>
      <w:r w:rsidR="00A57848">
        <w:rPr>
          <w:rFonts w:ascii="仿宋_GB2312" w:eastAsia="仿宋_GB2312" w:hint="eastAsia"/>
          <w:color w:val="auto"/>
          <w:sz w:val="32"/>
          <w:szCs w:val="32"/>
        </w:rPr>
        <w:t>单位公务出国（境）的国际旅费、国外</w:t>
      </w:r>
      <w:r w:rsidR="00A57848">
        <w:rPr>
          <w:rFonts w:ascii="仿宋_GB2312" w:eastAsia="仿宋_GB2312" w:hint="eastAsia"/>
          <w:color w:val="auto"/>
          <w:sz w:val="32"/>
          <w:szCs w:val="32"/>
        </w:rPr>
        <w:lastRenderedPageBreak/>
        <w:t>城市间交通费、住宿费、伙食费、培训费、公杂费等支出；公务用车购置及运行</w:t>
      </w:r>
      <w:proofErr w:type="gramStart"/>
      <w:r w:rsidR="00A57848">
        <w:rPr>
          <w:rFonts w:ascii="仿宋_GB2312" w:eastAsia="仿宋_GB2312" w:hint="eastAsia"/>
          <w:color w:val="auto"/>
          <w:sz w:val="32"/>
          <w:szCs w:val="32"/>
        </w:rPr>
        <w:t>费反映</w:t>
      </w:r>
      <w:proofErr w:type="gramEnd"/>
      <w:r w:rsidR="00A57848">
        <w:rPr>
          <w:rFonts w:ascii="仿宋_GB2312" w:eastAsia="仿宋_GB2312" w:hint="eastAsia"/>
          <w:color w:val="auto"/>
          <w:sz w:val="32"/>
          <w:szCs w:val="32"/>
        </w:rPr>
        <w:t>单位公务用车车辆购置支出（</w:t>
      </w:r>
      <w:proofErr w:type="gramStart"/>
      <w:r w:rsidR="00A57848">
        <w:rPr>
          <w:rFonts w:ascii="仿宋_GB2312" w:eastAsia="仿宋_GB2312" w:hint="eastAsia"/>
          <w:color w:val="auto"/>
          <w:sz w:val="32"/>
          <w:szCs w:val="32"/>
        </w:rPr>
        <w:t>含车辆</w:t>
      </w:r>
      <w:proofErr w:type="gramEnd"/>
      <w:r w:rsidR="00A57848">
        <w:rPr>
          <w:rFonts w:ascii="仿宋_GB2312" w:eastAsia="仿宋_GB2312" w:hint="eastAsia"/>
          <w:color w:val="auto"/>
          <w:sz w:val="32"/>
          <w:szCs w:val="32"/>
        </w:rPr>
        <w:t>购置税）及租用费、燃料费、维修费、过路过桥费、保险费等支出；公务接待</w:t>
      </w:r>
      <w:proofErr w:type="gramStart"/>
      <w:r w:rsidR="00A57848">
        <w:rPr>
          <w:rFonts w:ascii="仿宋_GB2312" w:eastAsia="仿宋_GB2312" w:hint="eastAsia"/>
          <w:color w:val="auto"/>
          <w:sz w:val="32"/>
          <w:szCs w:val="32"/>
        </w:rPr>
        <w:t>费反映</w:t>
      </w:r>
      <w:proofErr w:type="gramEnd"/>
      <w:r w:rsidR="00A57848">
        <w:rPr>
          <w:rFonts w:ascii="仿宋_GB2312" w:eastAsia="仿宋_GB2312" w:hint="eastAsia"/>
          <w:color w:val="auto"/>
          <w:sz w:val="32"/>
          <w:szCs w:val="32"/>
        </w:rPr>
        <w:t>单位按规定开支的各类公务接待（含外宾接待）支出。</w:t>
      </w:r>
    </w:p>
    <w:p w:rsidR="00FB7B1A" w:rsidRPr="00E839B2" w:rsidRDefault="00C05A1B" w:rsidP="00E839B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26</w:t>
      </w:r>
      <w:r w:rsidR="00A57848">
        <w:rPr>
          <w:rFonts w:ascii="仿宋_GB2312" w:eastAsia="仿宋_GB2312"/>
          <w:color w:val="auto"/>
          <w:sz w:val="32"/>
          <w:szCs w:val="32"/>
        </w:rPr>
        <w:t>.</w:t>
      </w:r>
      <w:r w:rsidR="00A57848">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B7B1A" w:rsidRDefault="00A57848">
      <w:pPr>
        <w:spacing w:line="600" w:lineRule="exact"/>
        <w:jc w:val="center"/>
        <w:outlineLvl w:val="0"/>
        <w:rPr>
          <w:rStyle w:val="1Char"/>
          <w:rFonts w:ascii="黑体" w:eastAsia="黑体" w:hAnsi="黑体"/>
          <w:b w:val="0"/>
        </w:rPr>
      </w:pPr>
      <w:bookmarkStart w:id="75" w:name="_Toc15377226"/>
      <w:r>
        <w:rPr>
          <w:rFonts w:ascii="宋体"/>
          <w:b/>
          <w:sz w:val="44"/>
          <w:szCs w:val="44"/>
        </w:rPr>
        <w:br w:type="page"/>
      </w:r>
      <w:bookmarkStart w:id="76" w:name="_Toc15396614"/>
      <w:bookmarkStart w:id="77" w:name="_Toc115080922"/>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76"/>
      <w:bookmarkEnd w:id="77"/>
    </w:p>
    <w:p w:rsidR="00FB7B1A" w:rsidRDefault="00A57848">
      <w:pPr>
        <w:spacing w:line="572" w:lineRule="exact"/>
        <w:jc w:val="left"/>
        <w:outlineLvl w:val="0"/>
        <w:rPr>
          <w:rFonts w:ascii="黑体" w:eastAsia="黑体" w:hAnsi="黑体" w:cs="黑体"/>
          <w:sz w:val="32"/>
          <w:szCs w:val="32"/>
        </w:rPr>
      </w:pPr>
      <w:bookmarkStart w:id="78" w:name="_Toc115080923"/>
      <w:r>
        <w:rPr>
          <w:rFonts w:ascii="黑体" w:eastAsia="黑体" w:hAnsi="黑体" w:cs="黑体" w:hint="eastAsia"/>
          <w:sz w:val="32"/>
          <w:szCs w:val="32"/>
        </w:rPr>
        <w:t>附件</w:t>
      </w:r>
      <w:bookmarkEnd w:id="78"/>
    </w:p>
    <w:p w:rsidR="00CB0B23" w:rsidRDefault="00CB0B23" w:rsidP="00CB0B23">
      <w:pPr>
        <w:widowControl/>
        <w:spacing w:line="540" w:lineRule="exact"/>
        <w:jc w:val="center"/>
        <w:rPr>
          <w:rFonts w:eastAsia="方正小标宋简体"/>
          <w:color w:val="000000"/>
          <w:sz w:val="44"/>
          <w:szCs w:val="44"/>
        </w:rPr>
      </w:pPr>
    </w:p>
    <w:p w:rsidR="00CB0B23" w:rsidRPr="00CC5C9B" w:rsidRDefault="00CB0B23" w:rsidP="00CB0B23">
      <w:pPr>
        <w:widowControl/>
        <w:spacing w:line="540" w:lineRule="exact"/>
        <w:jc w:val="center"/>
        <w:rPr>
          <w:rFonts w:eastAsia="方正小标宋简体"/>
          <w:color w:val="000000" w:themeColor="text1"/>
          <w:sz w:val="44"/>
          <w:szCs w:val="44"/>
        </w:rPr>
      </w:pPr>
      <w:r w:rsidRPr="00CC5C9B">
        <w:rPr>
          <w:rFonts w:eastAsia="方正小标宋简体"/>
          <w:color w:val="000000" w:themeColor="text1"/>
          <w:sz w:val="44"/>
          <w:szCs w:val="44"/>
        </w:rPr>
        <w:t>202</w:t>
      </w:r>
      <w:r w:rsidRPr="00CC5C9B">
        <w:rPr>
          <w:rFonts w:eastAsia="方正小标宋简体" w:hint="eastAsia"/>
          <w:color w:val="000000" w:themeColor="text1"/>
          <w:sz w:val="44"/>
          <w:szCs w:val="44"/>
        </w:rPr>
        <w:t>1</w:t>
      </w:r>
      <w:r w:rsidRPr="00CC5C9B">
        <w:rPr>
          <w:rFonts w:ascii="微软雅黑" w:eastAsia="微软雅黑" w:hAnsi="微软雅黑" w:cs="微软雅黑" w:hint="eastAsia"/>
          <w:color w:val="000000" w:themeColor="text1"/>
          <w:sz w:val="44"/>
          <w:szCs w:val="44"/>
        </w:rPr>
        <w:t>年度部门</w:t>
      </w:r>
      <w:r w:rsidRPr="00CC5C9B">
        <w:rPr>
          <w:rFonts w:ascii="Malgun Gothic Semilight" w:eastAsia="Malgun Gothic Semilight" w:hAnsi="Malgun Gothic Semilight" w:cs="Malgun Gothic Semilight" w:hint="eastAsia"/>
          <w:color w:val="000000" w:themeColor="text1"/>
          <w:sz w:val="44"/>
          <w:szCs w:val="44"/>
        </w:rPr>
        <w:t>（</w:t>
      </w:r>
      <w:r w:rsidRPr="00CC5C9B">
        <w:rPr>
          <w:rFonts w:ascii="微软雅黑" w:eastAsia="微软雅黑" w:hAnsi="微软雅黑" w:cs="微软雅黑" w:hint="eastAsia"/>
          <w:color w:val="000000" w:themeColor="text1"/>
          <w:sz w:val="44"/>
          <w:szCs w:val="44"/>
        </w:rPr>
        <w:t>单位</w:t>
      </w:r>
      <w:r w:rsidRPr="00CC5C9B">
        <w:rPr>
          <w:rFonts w:ascii="Malgun Gothic Semilight" w:eastAsia="Malgun Gothic Semilight" w:hAnsi="Malgun Gothic Semilight" w:cs="Malgun Gothic Semilight" w:hint="eastAsia"/>
          <w:color w:val="000000" w:themeColor="text1"/>
          <w:sz w:val="44"/>
          <w:szCs w:val="44"/>
        </w:rPr>
        <w:t>）</w:t>
      </w:r>
      <w:r w:rsidRPr="00CC5C9B">
        <w:rPr>
          <w:rFonts w:ascii="微软雅黑" w:eastAsia="微软雅黑" w:hAnsi="微软雅黑" w:cs="微软雅黑" w:hint="eastAsia"/>
          <w:color w:val="000000" w:themeColor="text1"/>
          <w:sz w:val="44"/>
          <w:szCs w:val="44"/>
        </w:rPr>
        <w:t>整体支出绩效</w:t>
      </w:r>
    </w:p>
    <w:p w:rsidR="00CB0B23" w:rsidRPr="00CC5C9B" w:rsidRDefault="00CB0B23" w:rsidP="00CB0B23">
      <w:pPr>
        <w:widowControl/>
        <w:spacing w:line="540" w:lineRule="exact"/>
        <w:jc w:val="center"/>
        <w:rPr>
          <w:rFonts w:eastAsia="方正小标宋简体"/>
          <w:color w:val="000000" w:themeColor="text1"/>
          <w:sz w:val="44"/>
          <w:szCs w:val="44"/>
        </w:rPr>
      </w:pPr>
      <w:r w:rsidRPr="00CC5C9B">
        <w:rPr>
          <w:rFonts w:ascii="微软雅黑" w:eastAsia="微软雅黑" w:hAnsi="微软雅黑" w:cs="微软雅黑" w:hint="eastAsia"/>
          <w:color w:val="000000" w:themeColor="text1"/>
          <w:sz w:val="44"/>
          <w:szCs w:val="44"/>
        </w:rPr>
        <w:t>评价报告主要内容</w:t>
      </w:r>
    </w:p>
    <w:p w:rsidR="00CB0B23" w:rsidRPr="00CC5C9B" w:rsidRDefault="00CB0B23" w:rsidP="00CB0B23">
      <w:pPr>
        <w:widowControl/>
        <w:adjustRightInd w:val="0"/>
        <w:snapToGrid w:val="0"/>
        <w:spacing w:line="540" w:lineRule="exact"/>
        <w:ind w:firstLine="720"/>
        <w:jc w:val="center"/>
        <w:rPr>
          <w:color w:val="000000" w:themeColor="text1"/>
          <w:kern w:val="0"/>
          <w:lang w:val="zh-CN"/>
        </w:rPr>
      </w:pPr>
    </w:p>
    <w:p w:rsidR="00CB0B23" w:rsidRPr="00CC5C9B" w:rsidRDefault="00CB0B23" w:rsidP="00CB0B23">
      <w:pPr>
        <w:widowControl/>
        <w:adjustRightInd w:val="0"/>
        <w:snapToGrid w:val="0"/>
        <w:spacing w:line="540" w:lineRule="exact"/>
        <w:ind w:firstLine="720"/>
        <w:jc w:val="center"/>
        <w:rPr>
          <w:color w:val="000000" w:themeColor="text1"/>
          <w:kern w:val="0"/>
          <w:lang w:val="zh-CN"/>
        </w:rPr>
      </w:pPr>
    </w:p>
    <w:p w:rsidR="00CC5C9B" w:rsidRPr="006C626E" w:rsidRDefault="00CC5C9B" w:rsidP="00CC5C9B">
      <w:pPr>
        <w:spacing w:line="600" w:lineRule="exact"/>
        <w:ind w:firstLineChars="200" w:firstLine="643"/>
        <w:outlineLvl w:val="1"/>
        <w:rPr>
          <w:rFonts w:ascii="宋体" w:hAnsi="宋体" w:cs="楷体_GB2312"/>
          <w:b/>
          <w:bCs/>
          <w:sz w:val="32"/>
          <w:szCs w:val="32"/>
        </w:rPr>
      </w:pPr>
      <w:bookmarkStart w:id="79" w:name="_Toc15396618"/>
      <w:r w:rsidRPr="006C626E">
        <w:rPr>
          <w:rFonts w:ascii="宋体" w:hAnsi="宋体" w:cs="楷体_GB2312" w:hint="eastAsia"/>
          <w:b/>
          <w:bCs/>
          <w:sz w:val="32"/>
          <w:szCs w:val="32"/>
        </w:rPr>
        <w:t>一、单位组成情况</w:t>
      </w:r>
    </w:p>
    <w:p w:rsidR="00CC5C9B" w:rsidRPr="00184C64" w:rsidRDefault="00CC5C9B" w:rsidP="00CC5C9B">
      <w:pPr>
        <w:spacing w:line="600" w:lineRule="exact"/>
        <w:ind w:firstLineChars="200" w:firstLine="640"/>
        <w:rPr>
          <w:rFonts w:ascii="宋体" w:hAnsi="宋体" w:cs="仿宋_GB2312"/>
          <w:color w:val="000000" w:themeColor="text1"/>
          <w:kern w:val="0"/>
          <w:sz w:val="32"/>
          <w:szCs w:val="32"/>
        </w:rPr>
      </w:pPr>
      <w:r w:rsidRPr="00184C64">
        <w:rPr>
          <w:rFonts w:ascii="宋体" w:hAnsi="宋体" w:cs="仿宋_GB2312" w:hint="eastAsia"/>
          <w:color w:val="000000" w:themeColor="text1"/>
          <w:kern w:val="0"/>
          <w:sz w:val="32"/>
          <w:szCs w:val="32"/>
        </w:rPr>
        <w:t>四川省宜宾市职业技术学校（宜宾技师学院）于2019年11月07日取得由宜宾市事业单位登记管理局换发的《统一社会信用代码证书》（代码为12511200452074713Ｅ）；地址为宜宾</w:t>
      </w:r>
      <w:proofErr w:type="gramStart"/>
      <w:r w:rsidRPr="00184C64">
        <w:rPr>
          <w:rFonts w:ascii="宋体" w:hAnsi="宋体" w:cs="仿宋_GB2312" w:hint="eastAsia"/>
          <w:color w:val="000000" w:themeColor="text1"/>
          <w:kern w:val="0"/>
          <w:sz w:val="32"/>
          <w:szCs w:val="32"/>
        </w:rPr>
        <w:t>市叙州区赵场</w:t>
      </w:r>
      <w:proofErr w:type="gramEnd"/>
      <w:r w:rsidRPr="00184C64">
        <w:rPr>
          <w:rFonts w:ascii="宋体" w:hAnsi="宋体" w:cs="仿宋_GB2312" w:hint="eastAsia"/>
          <w:color w:val="000000" w:themeColor="text1"/>
          <w:kern w:val="0"/>
          <w:sz w:val="32"/>
          <w:szCs w:val="32"/>
        </w:rPr>
        <w:t>街道大</w:t>
      </w:r>
      <w:proofErr w:type="gramStart"/>
      <w:r w:rsidRPr="00184C64">
        <w:rPr>
          <w:rFonts w:ascii="宋体" w:hAnsi="宋体" w:cs="仿宋_GB2312" w:hint="eastAsia"/>
          <w:color w:val="000000" w:themeColor="text1"/>
          <w:kern w:val="0"/>
          <w:sz w:val="32"/>
          <w:szCs w:val="32"/>
        </w:rPr>
        <w:t>湾路</w:t>
      </w:r>
      <w:proofErr w:type="gramEnd"/>
      <w:r w:rsidRPr="00184C64">
        <w:rPr>
          <w:rFonts w:ascii="宋体" w:hAnsi="宋体" w:cs="仿宋_GB2312" w:hint="eastAsia"/>
          <w:color w:val="000000" w:themeColor="text1"/>
          <w:kern w:val="0"/>
          <w:sz w:val="32"/>
          <w:szCs w:val="32"/>
        </w:rPr>
        <w:t>7号；单位性质为事业单位；主要负责人为李小华；内设党政办公室、教师发展与人才工作处、德育处、教学处、招生就业与校企合作处、培训鉴定处、后勤保障服务处、质量与效率管理办公室、工会（</w:t>
      </w:r>
      <w:proofErr w:type="gramStart"/>
      <w:r w:rsidRPr="00184C64">
        <w:rPr>
          <w:rFonts w:ascii="宋体" w:hAnsi="宋体" w:cs="仿宋_GB2312" w:hint="eastAsia"/>
          <w:color w:val="000000" w:themeColor="text1"/>
          <w:kern w:val="0"/>
          <w:sz w:val="32"/>
          <w:szCs w:val="32"/>
        </w:rPr>
        <w:t>退委会</w:t>
      </w:r>
      <w:proofErr w:type="gramEnd"/>
      <w:r w:rsidRPr="00184C64">
        <w:rPr>
          <w:rFonts w:ascii="宋体" w:hAnsi="宋体" w:cs="仿宋_GB2312" w:hint="eastAsia"/>
          <w:color w:val="000000" w:themeColor="text1"/>
          <w:kern w:val="0"/>
          <w:sz w:val="32"/>
          <w:szCs w:val="32"/>
        </w:rPr>
        <w:t>）和</w:t>
      </w:r>
      <w:proofErr w:type="gramStart"/>
      <w:r w:rsidRPr="00184C64">
        <w:rPr>
          <w:rFonts w:ascii="宋体" w:hAnsi="宋体" w:cs="仿宋_GB2312" w:hint="eastAsia"/>
          <w:color w:val="000000" w:themeColor="text1"/>
          <w:kern w:val="0"/>
          <w:sz w:val="32"/>
          <w:szCs w:val="32"/>
        </w:rPr>
        <w:t>校团委</w:t>
      </w:r>
      <w:proofErr w:type="gramEnd"/>
      <w:r w:rsidRPr="00184C64">
        <w:rPr>
          <w:rFonts w:ascii="宋体" w:hAnsi="宋体" w:cs="仿宋_GB2312" w:hint="eastAsia"/>
          <w:color w:val="000000" w:themeColor="text1"/>
          <w:kern w:val="0"/>
          <w:sz w:val="32"/>
          <w:szCs w:val="32"/>
        </w:rPr>
        <w:t>，共10个处室，人文教育专业部、现代服务专业部、文化旅游专业部、信息工程专业部、汽车工程专业部和智能制造专业部，共6个二级单位。</w:t>
      </w:r>
    </w:p>
    <w:p w:rsidR="00CC5C9B" w:rsidRPr="00184C64" w:rsidRDefault="00CC5C9B" w:rsidP="00CC5C9B">
      <w:pPr>
        <w:spacing w:line="600" w:lineRule="exact"/>
        <w:ind w:firstLineChars="200" w:firstLine="643"/>
        <w:outlineLvl w:val="1"/>
        <w:rPr>
          <w:rFonts w:ascii="宋体" w:hAnsi="宋体" w:cs="楷体_GB2312"/>
          <w:b/>
          <w:bCs/>
          <w:color w:val="000000" w:themeColor="text1"/>
          <w:sz w:val="32"/>
          <w:szCs w:val="32"/>
        </w:rPr>
      </w:pPr>
      <w:bookmarkStart w:id="80" w:name="_Toc53491215"/>
      <w:bookmarkStart w:id="81" w:name="_Toc5751"/>
      <w:r w:rsidRPr="00184C64">
        <w:rPr>
          <w:rFonts w:ascii="宋体" w:hAnsi="宋体" w:cs="楷体_GB2312" w:hint="eastAsia"/>
          <w:b/>
          <w:bCs/>
          <w:color w:val="000000" w:themeColor="text1"/>
          <w:sz w:val="32"/>
          <w:szCs w:val="32"/>
        </w:rPr>
        <w:t>二、单位职能情况</w:t>
      </w:r>
      <w:bookmarkEnd w:id="80"/>
      <w:bookmarkEnd w:id="81"/>
    </w:p>
    <w:p w:rsidR="00CC5C9B" w:rsidRPr="006C626E" w:rsidRDefault="00CC5C9B" w:rsidP="00CC5C9B">
      <w:pPr>
        <w:spacing w:line="600" w:lineRule="exact"/>
        <w:ind w:firstLineChars="200" w:firstLine="640"/>
        <w:rPr>
          <w:rFonts w:ascii="宋体" w:hAnsi="宋体" w:cs="仿宋_GB2312"/>
          <w:kern w:val="0"/>
          <w:sz w:val="32"/>
          <w:szCs w:val="32"/>
        </w:rPr>
      </w:pPr>
      <w:r w:rsidRPr="006C626E">
        <w:rPr>
          <w:rFonts w:ascii="宋体" w:hAnsi="宋体" w:cs="仿宋_GB2312" w:hint="eastAsia"/>
          <w:kern w:val="0"/>
          <w:sz w:val="32"/>
          <w:szCs w:val="32"/>
        </w:rPr>
        <w:t>主要负责培养高中学历及中级技术应用人才，提高社会职业素质。培养经济类、计算机类、机电制造类、文秘旅游类、工艺美术建筑类等专业人才。</w:t>
      </w:r>
    </w:p>
    <w:p w:rsidR="00CC5C9B" w:rsidRPr="006C626E" w:rsidRDefault="00CC5C9B" w:rsidP="00CC5C9B">
      <w:pPr>
        <w:spacing w:line="600" w:lineRule="exact"/>
        <w:ind w:firstLineChars="200" w:firstLine="643"/>
        <w:outlineLvl w:val="1"/>
        <w:rPr>
          <w:rFonts w:ascii="宋体" w:hAnsi="宋体" w:cs="楷体_GB2312"/>
          <w:b/>
          <w:bCs/>
          <w:sz w:val="32"/>
          <w:szCs w:val="32"/>
        </w:rPr>
      </w:pPr>
      <w:bookmarkStart w:id="82" w:name="_Toc53491216"/>
      <w:bookmarkStart w:id="83" w:name="_Toc5229"/>
      <w:r w:rsidRPr="006C626E">
        <w:rPr>
          <w:rFonts w:ascii="宋体" w:hAnsi="宋体" w:cs="楷体_GB2312" w:hint="eastAsia"/>
          <w:b/>
          <w:bCs/>
          <w:sz w:val="32"/>
          <w:szCs w:val="32"/>
        </w:rPr>
        <w:t>三、人员概况</w:t>
      </w:r>
      <w:bookmarkEnd w:id="82"/>
      <w:bookmarkEnd w:id="83"/>
    </w:p>
    <w:p w:rsidR="00CC5C9B" w:rsidRPr="0063340A" w:rsidRDefault="00CC5C9B" w:rsidP="00CC5C9B">
      <w:pPr>
        <w:snapToGrid w:val="0"/>
        <w:spacing w:line="360" w:lineRule="auto"/>
        <w:ind w:left="210" w:firstLineChars="200" w:firstLine="640"/>
        <w:rPr>
          <w:rFonts w:ascii="宋体" w:hAnsi="宋体" w:cs="仿宋_GB2312"/>
          <w:kern w:val="0"/>
          <w:sz w:val="32"/>
          <w:szCs w:val="32"/>
        </w:rPr>
      </w:pPr>
      <w:r w:rsidRPr="0063340A">
        <w:rPr>
          <w:rFonts w:ascii="宋体" w:hAnsi="宋体" w:cs="仿宋_GB2312" w:hint="eastAsia"/>
          <w:kern w:val="0"/>
          <w:sz w:val="32"/>
          <w:szCs w:val="32"/>
        </w:rPr>
        <w:t>学校教职员工额定编制数500人，现有教职员工总数</w:t>
      </w:r>
      <w:r w:rsidRPr="0063340A">
        <w:rPr>
          <w:rFonts w:ascii="宋体" w:hAnsi="宋体" w:cs="仿宋_GB2312" w:hint="eastAsia"/>
          <w:kern w:val="0"/>
          <w:sz w:val="32"/>
          <w:szCs w:val="32"/>
        </w:rPr>
        <w:lastRenderedPageBreak/>
        <w:t>426人，专任教师380人，其中特级教师3人，正高级教师3人，高级教师141人，一级教师138人，硕士学历以上教师11人，占专任教师比例2.89%。专业教师197人中“双师型”教师134人，占比68%。思想政治课专任教师32人，德育管理人员47人，比上年增加3人；体育课专任教师32人，比上年增加2人；美育课专任教师30人，比上年增加2人，学校与行业标杆企业合作共建教师实践实训基地，邀请包括宁德时代、五粮液普什、中航三江机械、</w:t>
      </w:r>
      <w:proofErr w:type="gramStart"/>
      <w:r w:rsidRPr="0063340A">
        <w:rPr>
          <w:rFonts w:ascii="宋体" w:hAnsi="宋体" w:cs="仿宋_GB2312" w:hint="eastAsia"/>
          <w:kern w:val="0"/>
          <w:sz w:val="32"/>
          <w:szCs w:val="32"/>
        </w:rPr>
        <w:t>极</w:t>
      </w:r>
      <w:proofErr w:type="gramEnd"/>
      <w:r w:rsidRPr="0063340A">
        <w:rPr>
          <w:rFonts w:ascii="宋体" w:hAnsi="宋体" w:cs="仿宋_GB2312" w:hint="eastAsia"/>
          <w:kern w:val="0"/>
          <w:sz w:val="32"/>
          <w:szCs w:val="32"/>
        </w:rPr>
        <w:t>米光电、丝丽雅、</w:t>
      </w:r>
      <w:proofErr w:type="gramStart"/>
      <w:r w:rsidRPr="0063340A">
        <w:rPr>
          <w:rFonts w:ascii="宋体" w:hAnsi="宋体" w:cs="仿宋_GB2312" w:hint="eastAsia"/>
          <w:kern w:val="0"/>
          <w:sz w:val="32"/>
          <w:szCs w:val="32"/>
        </w:rPr>
        <w:t>一</w:t>
      </w:r>
      <w:proofErr w:type="gramEnd"/>
      <w:r w:rsidRPr="0063340A">
        <w:rPr>
          <w:rFonts w:ascii="宋体" w:hAnsi="宋体" w:cs="仿宋_GB2312" w:hint="eastAsia"/>
          <w:kern w:val="0"/>
          <w:sz w:val="32"/>
          <w:szCs w:val="32"/>
        </w:rPr>
        <w:t>电航空、中国联通、中国信科院（成渝分院）、宜宾农科院、宜宾学院等各行业拔尖人才、能工巧匠100余名作为学校专家、顾问、兼职教师，补充学校现有师资力量，形成专兼相促、数量充足的高素质教师队伍。</w:t>
      </w:r>
    </w:p>
    <w:p w:rsidR="00CC5C9B" w:rsidRDefault="00CC5C9B" w:rsidP="00CC5C9B">
      <w:pPr>
        <w:ind w:firstLineChars="200" w:firstLine="643"/>
      </w:pPr>
      <w:r w:rsidRPr="00922DED">
        <w:rPr>
          <w:rFonts w:ascii="宋体" w:hAnsi="宋体" w:cs="楷体_GB2312" w:hint="eastAsia"/>
          <w:b/>
          <w:bCs/>
          <w:sz w:val="32"/>
          <w:szCs w:val="32"/>
        </w:rPr>
        <w:t>四、预算执行情况</w:t>
      </w:r>
    </w:p>
    <w:p w:rsidR="00CC5C9B" w:rsidRDefault="00CC5C9B" w:rsidP="00CC5C9B">
      <w:pPr>
        <w:ind w:firstLineChars="200" w:firstLine="560"/>
        <w:jc w:val="left"/>
        <w:rPr>
          <w:rFonts w:ascii="宋体" w:hAnsi="宋体"/>
          <w:color w:val="000000"/>
          <w:sz w:val="28"/>
          <w:szCs w:val="28"/>
        </w:rPr>
      </w:pPr>
      <w:r>
        <w:rPr>
          <w:rFonts w:ascii="宋体" w:hAnsi="宋体" w:hint="eastAsia"/>
          <w:color w:val="000000"/>
          <w:sz w:val="28"/>
          <w:szCs w:val="28"/>
        </w:rPr>
        <w:t>（一）</w:t>
      </w:r>
      <w:r w:rsidRPr="006C626E">
        <w:rPr>
          <w:rFonts w:ascii="宋体" w:hAnsi="宋体" w:hint="eastAsia"/>
          <w:color w:val="000000"/>
          <w:sz w:val="28"/>
          <w:szCs w:val="28"/>
        </w:rPr>
        <w:t>学校的收入</w:t>
      </w:r>
    </w:p>
    <w:p w:rsidR="00CC5C9B" w:rsidRPr="0063340A" w:rsidRDefault="00CC5C9B" w:rsidP="00CC5C9B">
      <w:pPr>
        <w:ind w:firstLineChars="300" w:firstLine="960"/>
        <w:jc w:val="left"/>
        <w:rPr>
          <w:rFonts w:ascii="宋体" w:hAnsi="宋体" w:cs="仿宋_GB2312"/>
          <w:kern w:val="0"/>
          <w:sz w:val="32"/>
          <w:szCs w:val="32"/>
        </w:rPr>
      </w:pPr>
      <w:r w:rsidRPr="0063340A">
        <w:rPr>
          <w:rFonts w:ascii="宋体" w:hAnsi="宋体" w:cs="仿宋_GB2312" w:hint="eastAsia"/>
          <w:kern w:val="0"/>
          <w:sz w:val="32"/>
          <w:szCs w:val="32"/>
        </w:rPr>
        <w:t>主要包括财政经费拨款、财政专户资金收入两部分，其他收入很少。2021年度总收入10135.1万元，其中：财政拨款收入9725.0万元，占总收入约96.0%，年初预算6847.0万元，追加2878.0万元，其中：基本支出6358.2万元，主要是人员经费收入688.2万元，商品服务支出1191.3万元。项目专项资金收入1945.5万元，主要包括：</w:t>
      </w:r>
      <w:proofErr w:type="gramStart"/>
      <w:r w:rsidRPr="0063340A">
        <w:rPr>
          <w:rFonts w:ascii="宋体" w:hAnsi="宋体" w:cs="仿宋_GB2312" w:hint="eastAsia"/>
          <w:kern w:val="0"/>
          <w:sz w:val="32"/>
          <w:szCs w:val="32"/>
        </w:rPr>
        <w:t>中职免学费</w:t>
      </w:r>
      <w:proofErr w:type="gramEnd"/>
      <w:r w:rsidRPr="0063340A">
        <w:rPr>
          <w:rFonts w:ascii="宋体" w:hAnsi="宋体" w:cs="仿宋_GB2312" w:hint="eastAsia"/>
          <w:kern w:val="0"/>
          <w:sz w:val="32"/>
          <w:szCs w:val="32"/>
        </w:rPr>
        <w:t>72.3万，图书购置30万，</w:t>
      </w:r>
      <w:proofErr w:type="gramStart"/>
      <w:r w:rsidRPr="0063340A">
        <w:rPr>
          <w:rFonts w:ascii="宋体" w:hAnsi="宋体" w:cs="仿宋_GB2312" w:hint="eastAsia"/>
          <w:kern w:val="0"/>
          <w:sz w:val="32"/>
          <w:szCs w:val="32"/>
        </w:rPr>
        <w:t>实际小区</w:t>
      </w:r>
      <w:proofErr w:type="gramEnd"/>
      <w:r w:rsidRPr="0063340A">
        <w:rPr>
          <w:rFonts w:ascii="宋体" w:hAnsi="宋体" w:cs="仿宋_GB2312" w:hint="eastAsia"/>
          <w:kern w:val="0"/>
          <w:sz w:val="32"/>
          <w:szCs w:val="32"/>
        </w:rPr>
        <w:t>运行维护费20万，学生助学金241万，市级物业管理费30.9万，实际高考</w:t>
      </w:r>
      <w:proofErr w:type="gramStart"/>
      <w:r w:rsidRPr="0063340A">
        <w:rPr>
          <w:rFonts w:ascii="宋体" w:hAnsi="宋体" w:cs="仿宋_GB2312" w:hint="eastAsia"/>
          <w:kern w:val="0"/>
          <w:sz w:val="32"/>
          <w:szCs w:val="32"/>
        </w:rPr>
        <w:t>质量奖补经</w:t>
      </w:r>
      <w:r w:rsidRPr="0063340A">
        <w:rPr>
          <w:rFonts w:ascii="宋体" w:hAnsi="宋体" w:cs="仿宋_GB2312" w:hint="eastAsia"/>
          <w:kern w:val="0"/>
          <w:sz w:val="32"/>
          <w:szCs w:val="32"/>
        </w:rPr>
        <w:lastRenderedPageBreak/>
        <w:t>费</w:t>
      </w:r>
      <w:proofErr w:type="gramEnd"/>
      <w:r w:rsidRPr="0063340A">
        <w:rPr>
          <w:rFonts w:ascii="宋体" w:hAnsi="宋体" w:cs="仿宋_GB2312" w:hint="eastAsia"/>
          <w:kern w:val="0"/>
          <w:sz w:val="32"/>
          <w:szCs w:val="32"/>
        </w:rPr>
        <w:t>100万，校园文化建设经费20万，物业管理费80万，债务还本经费500万，市级外婆教师专项经费70万，市级校园安全经费30万，债务还本经费744万。</w:t>
      </w:r>
    </w:p>
    <w:p w:rsidR="00CC5C9B" w:rsidRPr="0063340A" w:rsidRDefault="00CC5C9B" w:rsidP="00CC5C9B">
      <w:pPr>
        <w:ind w:firstLineChars="200" w:firstLine="640"/>
        <w:jc w:val="left"/>
        <w:rPr>
          <w:rFonts w:ascii="宋体" w:hAnsi="宋体" w:cs="仿宋_GB2312"/>
          <w:kern w:val="0"/>
          <w:sz w:val="32"/>
          <w:szCs w:val="32"/>
        </w:rPr>
      </w:pPr>
      <w:r w:rsidRPr="0063340A">
        <w:rPr>
          <w:rFonts w:ascii="宋体" w:hAnsi="宋体" w:cs="仿宋_GB2312" w:hint="eastAsia"/>
          <w:kern w:val="0"/>
          <w:sz w:val="32"/>
          <w:szCs w:val="32"/>
        </w:rPr>
        <w:t>事业收入361.7万元，占总收入约3.6%，。 2012年秋季起，中等职业教育将不再收取学费。学校事业收入主要有部分住校学生缴的住校费、培训鉴定收费和</w:t>
      </w:r>
      <w:proofErr w:type="gramStart"/>
      <w:r w:rsidRPr="0063340A">
        <w:rPr>
          <w:rFonts w:ascii="宋体" w:hAnsi="宋体" w:cs="仿宋_GB2312" w:hint="eastAsia"/>
          <w:kern w:val="0"/>
          <w:sz w:val="32"/>
          <w:szCs w:val="32"/>
        </w:rPr>
        <w:t>校企</w:t>
      </w:r>
      <w:proofErr w:type="gramEnd"/>
      <w:r w:rsidRPr="0063340A">
        <w:rPr>
          <w:rFonts w:ascii="宋体" w:hAnsi="宋体" w:cs="仿宋_GB2312" w:hint="eastAsia"/>
          <w:kern w:val="0"/>
          <w:sz w:val="32"/>
          <w:szCs w:val="32"/>
        </w:rPr>
        <w:t>联合办学管理费等。</w:t>
      </w:r>
    </w:p>
    <w:p w:rsidR="00CC5C9B" w:rsidRPr="006C626E" w:rsidRDefault="00CC5C9B" w:rsidP="00CC5C9B">
      <w:pPr>
        <w:ind w:firstLineChars="200" w:firstLine="640"/>
        <w:jc w:val="left"/>
        <w:rPr>
          <w:rFonts w:ascii="宋体" w:hAnsi="宋体"/>
          <w:color w:val="000000"/>
          <w:sz w:val="28"/>
          <w:szCs w:val="28"/>
        </w:rPr>
      </w:pPr>
      <w:r w:rsidRPr="0063340A">
        <w:rPr>
          <w:rFonts w:ascii="宋体" w:hAnsi="宋体" w:cs="仿宋_GB2312" w:hint="eastAsia"/>
          <w:kern w:val="0"/>
          <w:sz w:val="32"/>
          <w:szCs w:val="32"/>
        </w:rPr>
        <w:t>其他收入48.4万元，名师名校长工作室10万，乡村振兴职业技能大赛14.8万，艾滋病经费10万，教师培训经费4万，双城经济圈职教活动</w:t>
      </w:r>
      <w:proofErr w:type="gramStart"/>
      <w:r w:rsidRPr="0063340A">
        <w:rPr>
          <w:rFonts w:ascii="宋体" w:hAnsi="宋体" w:cs="仿宋_GB2312" w:hint="eastAsia"/>
          <w:kern w:val="0"/>
          <w:sz w:val="32"/>
          <w:szCs w:val="32"/>
        </w:rPr>
        <w:t>周经费</w:t>
      </w:r>
      <w:proofErr w:type="gramEnd"/>
      <w:r w:rsidRPr="0063340A">
        <w:rPr>
          <w:rFonts w:ascii="宋体" w:hAnsi="宋体" w:cs="仿宋_GB2312" w:hint="eastAsia"/>
          <w:kern w:val="0"/>
          <w:sz w:val="32"/>
          <w:szCs w:val="32"/>
        </w:rPr>
        <w:t xml:space="preserve">3.9万，党费返还4.1万，EP技能大赛经费1.5万。  </w:t>
      </w:r>
      <w:r w:rsidRPr="006C626E">
        <w:rPr>
          <w:rFonts w:ascii="宋体" w:hAnsi="宋体" w:hint="eastAsia"/>
          <w:color w:val="000000"/>
          <w:sz w:val="28"/>
          <w:szCs w:val="28"/>
        </w:rPr>
        <w:t xml:space="preserve">                                                                                                                                </w:t>
      </w:r>
    </w:p>
    <w:p w:rsidR="00CC5C9B" w:rsidRDefault="00CC5C9B" w:rsidP="00CC5C9B">
      <w:pPr>
        <w:ind w:firstLineChars="200" w:firstLine="560"/>
        <w:jc w:val="left"/>
        <w:rPr>
          <w:rFonts w:ascii="宋体" w:hAnsi="宋体"/>
          <w:color w:val="000000"/>
          <w:sz w:val="28"/>
          <w:szCs w:val="28"/>
        </w:rPr>
      </w:pPr>
      <w:r>
        <w:rPr>
          <w:rFonts w:ascii="宋体" w:hAnsi="宋体" w:hint="eastAsia"/>
          <w:color w:val="000000"/>
          <w:sz w:val="28"/>
          <w:szCs w:val="28"/>
        </w:rPr>
        <w:t>（二）</w:t>
      </w:r>
      <w:r w:rsidRPr="006C626E">
        <w:rPr>
          <w:rFonts w:ascii="宋体" w:hAnsi="宋体" w:hint="eastAsia"/>
          <w:color w:val="000000"/>
          <w:sz w:val="28"/>
          <w:szCs w:val="28"/>
        </w:rPr>
        <w:t>学校的支出</w:t>
      </w:r>
    </w:p>
    <w:p w:rsidR="00CC5C9B" w:rsidRPr="0063340A" w:rsidRDefault="00CC5C9B" w:rsidP="00CC5C9B">
      <w:pPr>
        <w:ind w:firstLineChars="200" w:firstLine="640"/>
        <w:jc w:val="left"/>
        <w:rPr>
          <w:rFonts w:ascii="宋体" w:hAnsi="宋体" w:cs="仿宋_GB2312"/>
          <w:kern w:val="0"/>
          <w:sz w:val="32"/>
          <w:szCs w:val="32"/>
        </w:rPr>
      </w:pPr>
      <w:r w:rsidRPr="0063340A">
        <w:rPr>
          <w:rFonts w:ascii="宋体" w:hAnsi="宋体" w:cs="仿宋_GB2312" w:hint="eastAsia"/>
          <w:kern w:val="0"/>
          <w:sz w:val="32"/>
          <w:szCs w:val="32"/>
        </w:rPr>
        <w:t>主要包括财政拨款支出、财政专户资金事业支出、其他支出。2021年度总支出13064.7万元，其中：财政拨款支出12003.2万元，占总支出91.9%，年初预算5465.万元，支出增加6538.2万元。</w:t>
      </w:r>
    </w:p>
    <w:p w:rsidR="00CC5C9B" w:rsidRPr="0063340A" w:rsidRDefault="00CC5C9B" w:rsidP="00CC5C9B">
      <w:pPr>
        <w:ind w:firstLineChars="200" w:firstLine="640"/>
        <w:jc w:val="left"/>
        <w:rPr>
          <w:rFonts w:ascii="宋体" w:hAnsi="宋体" w:cs="仿宋_GB2312"/>
          <w:kern w:val="0"/>
          <w:sz w:val="32"/>
          <w:szCs w:val="32"/>
        </w:rPr>
      </w:pPr>
      <w:r w:rsidRPr="0063340A">
        <w:rPr>
          <w:rFonts w:ascii="宋体" w:hAnsi="宋体" w:cs="仿宋_GB2312" w:hint="eastAsia"/>
          <w:kern w:val="0"/>
          <w:sz w:val="32"/>
          <w:szCs w:val="32"/>
        </w:rPr>
        <w:t>基本支出8465.4万元，占总支出约64.8%,项目支出4599.23万元，占总支出35.2%。</w:t>
      </w:r>
      <w:r w:rsidRPr="0063340A">
        <w:rPr>
          <w:rFonts w:ascii="宋体" w:hAnsi="宋体" w:cs="仿宋_GB2312"/>
          <w:kern w:val="0"/>
          <w:sz w:val="32"/>
          <w:szCs w:val="32"/>
        </w:rPr>
        <w:t xml:space="preserve"> </w:t>
      </w:r>
    </w:p>
    <w:p w:rsidR="00CC5C9B" w:rsidRPr="006C626E" w:rsidRDefault="00CC5C9B" w:rsidP="00CC5C9B">
      <w:pPr>
        <w:ind w:firstLineChars="200" w:firstLine="560"/>
        <w:jc w:val="left"/>
        <w:rPr>
          <w:rFonts w:ascii="宋体" w:hAnsi="宋体"/>
          <w:color w:val="000000"/>
          <w:sz w:val="28"/>
          <w:szCs w:val="28"/>
        </w:rPr>
      </w:pPr>
      <w:r>
        <w:rPr>
          <w:rFonts w:ascii="宋体" w:hAnsi="宋体" w:hint="eastAsia"/>
          <w:color w:val="000000"/>
          <w:sz w:val="28"/>
          <w:szCs w:val="28"/>
        </w:rPr>
        <w:t>（三）</w:t>
      </w:r>
      <w:r w:rsidRPr="006C626E">
        <w:rPr>
          <w:rFonts w:ascii="宋体" w:hAnsi="宋体" w:hint="eastAsia"/>
          <w:color w:val="000000"/>
          <w:sz w:val="28"/>
          <w:szCs w:val="28"/>
        </w:rPr>
        <w:t>年末结转结余情况</w:t>
      </w:r>
    </w:p>
    <w:p w:rsidR="00CC5C9B" w:rsidRPr="0063340A" w:rsidRDefault="00CC5C9B" w:rsidP="00CC5C9B">
      <w:pPr>
        <w:ind w:firstLineChars="200" w:firstLine="640"/>
        <w:jc w:val="left"/>
        <w:rPr>
          <w:rFonts w:ascii="宋体" w:hAnsi="宋体" w:cs="仿宋_GB2312"/>
          <w:kern w:val="0"/>
          <w:sz w:val="32"/>
          <w:szCs w:val="32"/>
        </w:rPr>
      </w:pPr>
      <w:r w:rsidRPr="0063340A">
        <w:rPr>
          <w:rFonts w:ascii="宋体" w:hAnsi="宋体" w:cs="仿宋_GB2312" w:hint="eastAsia"/>
          <w:kern w:val="0"/>
          <w:sz w:val="32"/>
          <w:szCs w:val="32"/>
        </w:rPr>
        <w:t>年末结转资金30.34万元，年末财政拨款结转0万元，占总结转资金的0%。项目支出结转0万元。</w:t>
      </w:r>
    </w:p>
    <w:p w:rsidR="00CC5C9B" w:rsidRPr="006C626E" w:rsidRDefault="00CC5C9B" w:rsidP="00CC5C9B">
      <w:pPr>
        <w:ind w:firstLineChars="200" w:firstLine="560"/>
        <w:jc w:val="left"/>
        <w:rPr>
          <w:rFonts w:ascii="宋体" w:hAnsi="宋体"/>
          <w:color w:val="000000"/>
          <w:sz w:val="28"/>
          <w:szCs w:val="28"/>
        </w:rPr>
      </w:pPr>
      <w:r w:rsidRPr="006C626E">
        <w:rPr>
          <w:rFonts w:ascii="宋体" w:hAnsi="宋体" w:hint="eastAsia"/>
          <w:color w:val="000000"/>
          <w:sz w:val="28"/>
          <w:szCs w:val="28"/>
        </w:rPr>
        <w:t>4、五</w:t>
      </w:r>
      <w:proofErr w:type="gramStart"/>
      <w:r w:rsidRPr="006C626E">
        <w:rPr>
          <w:rFonts w:ascii="宋体" w:hAnsi="宋体" w:hint="eastAsia"/>
          <w:color w:val="000000"/>
          <w:sz w:val="28"/>
          <w:szCs w:val="28"/>
        </w:rPr>
        <w:t>公经费</w:t>
      </w:r>
      <w:proofErr w:type="gramEnd"/>
      <w:r w:rsidRPr="006C626E">
        <w:rPr>
          <w:rFonts w:ascii="宋体" w:hAnsi="宋体" w:hint="eastAsia"/>
          <w:color w:val="000000"/>
          <w:sz w:val="28"/>
          <w:szCs w:val="28"/>
        </w:rPr>
        <w:t>情况</w:t>
      </w:r>
    </w:p>
    <w:p w:rsidR="00CC5C9B" w:rsidRPr="001E0590" w:rsidRDefault="00CC5C9B" w:rsidP="00CC5C9B">
      <w:pPr>
        <w:ind w:firstLine="480"/>
        <w:jc w:val="left"/>
        <w:rPr>
          <w:rFonts w:ascii="宋体" w:hAnsi="宋体"/>
          <w:color w:val="000000"/>
          <w:sz w:val="28"/>
          <w:szCs w:val="28"/>
        </w:rPr>
      </w:pPr>
      <w:r w:rsidRPr="001E0590">
        <w:rPr>
          <w:rFonts w:ascii="宋体" w:hAnsi="宋体" w:hint="eastAsia"/>
          <w:color w:val="000000"/>
          <w:sz w:val="28"/>
          <w:szCs w:val="28"/>
        </w:rPr>
        <w:lastRenderedPageBreak/>
        <w:t>2021年全年预算18万元，累计使用经费91967.13元，占比51.09%。远低于预算，其中公务用车运行维护费35008.13元，公务接待费56959元。全国国内公务接待批次52次，累计接待445人次。会议费全年累计32707元，主要包含成渝职教活动</w:t>
      </w:r>
      <w:proofErr w:type="gramStart"/>
      <w:r w:rsidRPr="001E0590">
        <w:rPr>
          <w:rFonts w:ascii="宋体" w:hAnsi="宋体" w:hint="eastAsia"/>
          <w:color w:val="000000"/>
          <w:sz w:val="28"/>
          <w:szCs w:val="28"/>
        </w:rPr>
        <w:t>周启动</w:t>
      </w:r>
      <w:proofErr w:type="gramEnd"/>
      <w:r w:rsidRPr="001E0590">
        <w:rPr>
          <w:rFonts w:ascii="宋体" w:hAnsi="宋体" w:hint="eastAsia"/>
          <w:color w:val="000000"/>
          <w:sz w:val="28"/>
          <w:szCs w:val="28"/>
        </w:rPr>
        <w:t>仪式会议支出等。</w:t>
      </w:r>
    </w:p>
    <w:p w:rsidR="00CC5C9B" w:rsidRPr="001E0590" w:rsidRDefault="00CC5C9B" w:rsidP="00CC5C9B">
      <w:pPr>
        <w:snapToGrid w:val="0"/>
        <w:spacing w:line="360" w:lineRule="auto"/>
        <w:rPr>
          <w:rFonts w:ascii="宋体" w:hAnsi="宋体"/>
          <w:color w:val="000000"/>
          <w:sz w:val="28"/>
          <w:szCs w:val="28"/>
        </w:rPr>
      </w:pPr>
      <w:r w:rsidRPr="001E0590">
        <w:rPr>
          <w:rFonts w:ascii="宋体" w:hAnsi="宋体" w:hint="eastAsia"/>
          <w:color w:val="000000"/>
          <w:sz w:val="28"/>
          <w:szCs w:val="28"/>
        </w:rPr>
        <w:t>全年产生培训费用368152.52元，主要用于教师培训及培训所产生的差旅支出。</w:t>
      </w:r>
    </w:p>
    <w:p w:rsidR="00CC5C9B" w:rsidRPr="005304B1" w:rsidRDefault="00CC5C9B" w:rsidP="00CC5C9B">
      <w:pPr>
        <w:ind w:firstLine="480"/>
        <w:jc w:val="left"/>
        <w:rPr>
          <w:rFonts w:ascii="宋体" w:hAnsi="宋体"/>
          <w:color w:val="000000"/>
          <w:sz w:val="28"/>
          <w:szCs w:val="28"/>
        </w:rPr>
      </w:pPr>
      <w:r w:rsidRPr="006C626E">
        <w:rPr>
          <w:rFonts w:ascii="宋体" w:hAnsi="宋体" w:hint="eastAsia"/>
          <w:color w:val="000000"/>
          <w:sz w:val="28"/>
          <w:szCs w:val="28"/>
        </w:rPr>
        <w:t xml:space="preserve">    5、学校的资产结构比较简单，主要由现金、银行存款等流动资产和固定资产几部分构成，没有对外投资及其他经营性项目。年末资产为</w:t>
      </w:r>
      <w:r>
        <w:rPr>
          <w:rFonts w:ascii="宋体" w:hAnsi="宋体" w:hint="eastAsia"/>
          <w:color w:val="000000"/>
          <w:sz w:val="28"/>
          <w:szCs w:val="28"/>
        </w:rPr>
        <w:t>36574万</w:t>
      </w:r>
      <w:r w:rsidRPr="006C626E">
        <w:rPr>
          <w:rFonts w:ascii="宋体" w:hAnsi="宋体" w:hint="eastAsia"/>
          <w:color w:val="000000"/>
          <w:sz w:val="28"/>
          <w:szCs w:val="28"/>
        </w:rPr>
        <w:t>元，主要反映在固定资产</w:t>
      </w:r>
      <w:r>
        <w:rPr>
          <w:rFonts w:ascii="宋体" w:hAnsi="宋体" w:hint="eastAsia"/>
          <w:color w:val="000000"/>
          <w:sz w:val="28"/>
          <w:szCs w:val="28"/>
        </w:rPr>
        <w:t>净值19512万</w:t>
      </w:r>
      <w:r w:rsidRPr="006C626E">
        <w:rPr>
          <w:rFonts w:ascii="宋体" w:hAnsi="宋体" w:hint="eastAsia"/>
          <w:color w:val="000000"/>
          <w:sz w:val="28"/>
          <w:szCs w:val="28"/>
        </w:rPr>
        <w:t>元，在建工程</w:t>
      </w:r>
      <w:r>
        <w:rPr>
          <w:rFonts w:ascii="宋体" w:hAnsi="宋体" w:hint="eastAsia"/>
          <w:color w:val="000000"/>
          <w:sz w:val="28"/>
          <w:szCs w:val="28"/>
        </w:rPr>
        <w:t>14525万</w:t>
      </w:r>
      <w:r w:rsidRPr="006C626E">
        <w:rPr>
          <w:rFonts w:ascii="宋体" w:hAnsi="宋体" w:hint="eastAsia"/>
          <w:color w:val="000000"/>
          <w:sz w:val="28"/>
          <w:szCs w:val="28"/>
        </w:rPr>
        <w:t>元，负债为</w:t>
      </w:r>
      <w:r>
        <w:rPr>
          <w:rFonts w:ascii="宋体" w:hAnsi="宋体" w:hint="eastAsia"/>
          <w:color w:val="000000"/>
          <w:sz w:val="28"/>
          <w:szCs w:val="28"/>
        </w:rPr>
        <w:t>2911万</w:t>
      </w:r>
      <w:r w:rsidRPr="006C626E">
        <w:rPr>
          <w:rFonts w:ascii="宋体" w:hAnsi="宋体" w:hint="eastAsia"/>
          <w:color w:val="000000"/>
          <w:sz w:val="28"/>
          <w:szCs w:val="28"/>
        </w:rPr>
        <w:t>元，主要反映在</w:t>
      </w:r>
      <w:r>
        <w:rPr>
          <w:rFonts w:ascii="宋体" w:hAnsi="宋体" w:hint="eastAsia"/>
          <w:color w:val="000000"/>
          <w:sz w:val="28"/>
          <w:szCs w:val="28"/>
        </w:rPr>
        <w:t>其他应付款1969万元</w:t>
      </w:r>
      <w:r w:rsidRPr="006C626E">
        <w:rPr>
          <w:rFonts w:ascii="宋体" w:hAnsi="宋体" w:hint="eastAsia"/>
          <w:color w:val="000000"/>
          <w:sz w:val="28"/>
          <w:szCs w:val="28"/>
        </w:rPr>
        <w:t>，</w:t>
      </w:r>
      <w:r>
        <w:rPr>
          <w:rFonts w:ascii="宋体" w:hAnsi="宋体" w:hint="eastAsia"/>
          <w:color w:val="000000"/>
          <w:sz w:val="28"/>
          <w:szCs w:val="28"/>
        </w:rPr>
        <w:t>长期借款706万元，受托代理资产235万元</w:t>
      </w:r>
      <w:r w:rsidRPr="006C626E">
        <w:rPr>
          <w:rFonts w:ascii="宋体" w:hAnsi="宋体" w:hint="eastAsia"/>
          <w:color w:val="000000"/>
          <w:sz w:val="28"/>
          <w:szCs w:val="28"/>
        </w:rPr>
        <w:t>。</w:t>
      </w:r>
    </w:p>
    <w:p w:rsidR="00CC5C9B" w:rsidRDefault="00CC5C9B" w:rsidP="00CC5C9B">
      <w:pPr>
        <w:spacing w:line="560" w:lineRule="exact"/>
        <w:ind w:left="630"/>
        <w:rPr>
          <w:rFonts w:eastAsia="黑体"/>
          <w:color w:val="000000"/>
          <w:sz w:val="32"/>
          <w:szCs w:val="32"/>
        </w:rPr>
      </w:pPr>
      <w:r>
        <w:rPr>
          <w:rFonts w:eastAsia="黑体" w:hint="eastAsia"/>
          <w:color w:val="000000"/>
          <w:sz w:val="32"/>
          <w:szCs w:val="32"/>
        </w:rPr>
        <w:t>五</w:t>
      </w:r>
      <w:r>
        <w:rPr>
          <w:rFonts w:eastAsia="黑体"/>
          <w:color w:val="000000"/>
          <w:sz w:val="32"/>
          <w:szCs w:val="32"/>
        </w:rPr>
        <w:t>、自评结果</w:t>
      </w:r>
    </w:p>
    <w:p w:rsidR="00CC5C9B" w:rsidRPr="003D3861" w:rsidRDefault="00CC5C9B" w:rsidP="00CC5C9B">
      <w:pPr>
        <w:ind w:firstLineChars="200" w:firstLine="640"/>
        <w:jc w:val="left"/>
        <w:rPr>
          <w:rFonts w:ascii="宋体" w:hAnsi="宋体" w:cs="仿宋_GB2312"/>
          <w:kern w:val="0"/>
          <w:sz w:val="32"/>
          <w:szCs w:val="32"/>
        </w:rPr>
      </w:pPr>
      <w:r w:rsidRPr="003D3861">
        <w:rPr>
          <w:rFonts w:ascii="宋体" w:hAnsi="宋体" w:cs="仿宋_GB2312"/>
          <w:kern w:val="0"/>
          <w:sz w:val="32"/>
          <w:szCs w:val="32"/>
        </w:rPr>
        <w:t>（一）自评工作开展情况</w:t>
      </w:r>
      <w:r>
        <w:rPr>
          <w:rFonts w:ascii="宋体" w:hAnsi="宋体" w:cs="仿宋_GB2312" w:hint="eastAsia"/>
          <w:kern w:val="0"/>
          <w:sz w:val="32"/>
          <w:szCs w:val="32"/>
        </w:rPr>
        <w:t>。</w:t>
      </w:r>
    </w:p>
    <w:p w:rsidR="00CC5C9B" w:rsidRPr="003D3861" w:rsidRDefault="00CC5C9B" w:rsidP="00CC5C9B">
      <w:pPr>
        <w:ind w:firstLineChars="200" w:firstLine="640"/>
        <w:jc w:val="left"/>
        <w:rPr>
          <w:rFonts w:ascii="宋体" w:hAnsi="宋体" w:cs="仿宋_GB2312"/>
          <w:kern w:val="0"/>
          <w:sz w:val="32"/>
          <w:szCs w:val="32"/>
        </w:rPr>
      </w:pPr>
      <w:r w:rsidRPr="003D3861">
        <w:rPr>
          <w:rFonts w:ascii="宋体" w:hAnsi="宋体" w:cs="仿宋_GB2312" w:hint="eastAsia"/>
          <w:kern w:val="0"/>
          <w:sz w:val="32"/>
          <w:szCs w:val="32"/>
        </w:rPr>
        <w:t>学校认真开展了绩效自评，自评情况如下。</w:t>
      </w:r>
    </w:p>
    <w:p w:rsidR="00CC5C9B" w:rsidRPr="003D3861" w:rsidRDefault="00CC5C9B" w:rsidP="00CC5C9B">
      <w:pPr>
        <w:ind w:firstLineChars="200" w:firstLine="640"/>
        <w:jc w:val="left"/>
        <w:rPr>
          <w:rFonts w:ascii="宋体" w:hAnsi="宋体" w:cs="仿宋_GB2312"/>
          <w:kern w:val="0"/>
          <w:sz w:val="32"/>
          <w:szCs w:val="32"/>
        </w:rPr>
      </w:pPr>
      <w:r w:rsidRPr="003D3861">
        <w:rPr>
          <w:rFonts w:ascii="宋体" w:hAnsi="宋体" w:cs="仿宋_GB2312"/>
          <w:kern w:val="0"/>
          <w:sz w:val="32"/>
          <w:szCs w:val="32"/>
        </w:rPr>
        <w:t>（二） 绩效自评情况</w:t>
      </w:r>
    </w:p>
    <w:p w:rsidR="00CC5C9B" w:rsidRDefault="00CC5C9B" w:rsidP="00CC5C9B">
      <w:pPr>
        <w:spacing w:line="580" w:lineRule="exact"/>
        <w:jc w:val="center"/>
        <w:rPr>
          <w:rFonts w:eastAsia="方正小标宋简体"/>
          <w:color w:val="000000"/>
          <w:sz w:val="24"/>
        </w:rPr>
      </w:pPr>
      <w:r>
        <w:rPr>
          <w:rFonts w:eastAsia="方正小标宋简体"/>
          <w:color w:val="000000"/>
          <w:sz w:val="24"/>
        </w:rPr>
        <w:t>单位整体支出绩效情况自评表</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2540"/>
        <w:gridCol w:w="3118"/>
        <w:gridCol w:w="851"/>
        <w:gridCol w:w="759"/>
      </w:tblGrid>
      <w:tr w:rsidR="00CC5C9B" w:rsidTr="00D15656">
        <w:trPr>
          <w:trHeight w:val="465"/>
        </w:trPr>
        <w:tc>
          <w:tcPr>
            <w:tcW w:w="1161" w:type="dxa"/>
            <w:tcBorders>
              <w:bottom w:val="single" w:sz="4" w:space="0" w:color="auto"/>
            </w:tcBorders>
            <w:vAlign w:val="center"/>
          </w:tcPr>
          <w:p w:rsidR="00CC5C9B" w:rsidRDefault="00CC5C9B" w:rsidP="00D15656">
            <w:pPr>
              <w:widowControl/>
              <w:jc w:val="center"/>
              <w:rPr>
                <w:b/>
                <w:bCs/>
                <w:color w:val="000000"/>
                <w:kern w:val="0"/>
                <w:sz w:val="20"/>
                <w:szCs w:val="20"/>
              </w:rPr>
            </w:pPr>
            <w:r>
              <w:rPr>
                <w:b/>
                <w:bCs/>
                <w:color w:val="000000"/>
                <w:kern w:val="0"/>
                <w:sz w:val="20"/>
                <w:szCs w:val="20"/>
              </w:rPr>
              <w:t>一级指标</w:t>
            </w:r>
          </w:p>
        </w:tc>
        <w:tc>
          <w:tcPr>
            <w:tcW w:w="2540" w:type="dxa"/>
            <w:vAlign w:val="center"/>
          </w:tcPr>
          <w:p w:rsidR="00CC5C9B" w:rsidRDefault="00CC5C9B" w:rsidP="00D15656">
            <w:pPr>
              <w:widowControl/>
              <w:jc w:val="center"/>
              <w:rPr>
                <w:b/>
                <w:bCs/>
                <w:color w:val="000000"/>
                <w:kern w:val="0"/>
                <w:sz w:val="20"/>
                <w:szCs w:val="20"/>
              </w:rPr>
            </w:pPr>
            <w:r>
              <w:rPr>
                <w:b/>
                <w:bCs/>
                <w:color w:val="000000"/>
                <w:kern w:val="0"/>
                <w:sz w:val="20"/>
                <w:szCs w:val="20"/>
              </w:rPr>
              <w:t>二级指标</w:t>
            </w:r>
          </w:p>
        </w:tc>
        <w:tc>
          <w:tcPr>
            <w:tcW w:w="3118" w:type="dxa"/>
            <w:vAlign w:val="center"/>
          </w:tcPr>
          <w:p w:rsidR="00CC5C9B" w:rsidRDefault="00CC5C9B" w:rsidP="00D15656">
            <w:pPr>
              <w:widowControl/>
              <w:jc w:val="center"/>
              <w:rPr>
                <w:b/>
                <w:bCs/>
                <w:color w:val="000000"/>
                <w:kern w:val="0"/>
                <w:sz w:val="20"/>
                <w:szCs w:val="20"/>
              </w:rPr>
            </w:pPr>
            <w:r>
              <w:rPr>
                <w:b/>
                <w:bCs/>
                <w:color w:val="000000"/>
                <w:kern w:val="0"/>
                <w:sz w:val="20"/>
                <w:szCs w:val="20"/>
              </w:rPr>
              <w:t>三级指标</w:t>
            </w:r>
          </w:p>
        </w:tc>
        <w:tc>
          <w:tcPr>
            <w:tcW w:w="851" w:type="dxa"/>
          </w:tcPr>
          <w:p w:rsidR="00CC5C9B" w:rsidRDefault="00CC5C9B" w:rsidP="00D15656">
            <w:pPr>
              <w:widowControl/>
              <w:jc w:val="center"/>
              <w:rPr>
                <w:b/>
                <w:bCs/>
                <w:color w:val="000000"/>
                <w:kern w:val="0"/>
                <w:sz w:val="20"/>
                <w:szCs w:val="20"/>
              </w:rPr>
            </w:pPr>
            <w:r>
              <w:rPr>
                <w:b/>
                <w:bCs/>
                <w:color w:val="000000"/>
                <w:kern w:val="0"/>
                <w:sz w:val="20"/>
                <w:szCs w:val="20"/>
              </w:rPr>
              <w:t>分</w:t>
            </w:r>
            <w:r>
              <w:rPr>
                <w:b/>
                <w:bCs/>
                <w:color w:val="000000"/>
                <w:kern w:val="0"/>
                <w:sz w:val="20"/>
                <w:szCs w:val="20"/>
              </w:rPr>
              <w:t xml:space="preserve">  </w:t>
            </w:r>
            <w:r>
              <w:rPr>
                <w:b/>
                <w:bCs/>
                <w:color w:val="000000"/>
                <w:kern w:val="0"/>
                <w:sz w:val="20"/>
                <w:szCs w:val="20"/>
              </w:rPr>
              <w:t>值</w:t>
            </w:r>
          </w:p>
        </w:tc>
        <w:tc>
          <w:tcPr>
            <w:tcW w:w="759" w:type="dxa"/>
          </w:tcPr>
          <w:p w:rsidR="00CC5C9B" w:rsidRDefault="00CC5C9B" w:rsidP="00D15656">
            <w:pPr>
              <w:widowControl/>
              <w:jc w:val="center"/>
              <w:rPr>
                <w:b/>
                <w:bCs/>
                <w:color w:val="000000"/>
                <w:kern w:val="0"/>
                <w:sz w:val="20"/>
                <w:szCs w:val="20"/>
              </w:rPr>
            </w:pPr>
            <w:r>
              <w:rPr>
                <w:b/>
                <w:bCs/>
                <w:color w:val="000000"/>
                <w:kern w:val="0"/>
                <w:sz w:val="20"/>
                <w:szCs w:val="20"/>
              </w:rPr>
              <w:t>得</w:t>
            </w:r>
            <w:r>
              <w:rPr>
                <w:b/>
                <w:bCs/>
                <w:color w:val="000000"/>
                <w:kern w:val="0"/>
                <w:sz w:val="20"/>
                <w:szCs w:val="20"/>
              </w:rPr>
              <w:t xml:space="preserve"> </w:t>
            </w:r>
            <w:r>
              <w:rPr>
                <w:b/>
                <w:bCs/>
                <w:color w:val="000000"/>
                <w:kern w:val="0"/>
                <w:sz w:val="20"/>
                <w:szCs w:val="20"/>
              </w:rPr>
              <w:t>分</w:t>
            </w:r>
          </w:p>
        </w:tc>
      </w:tr>
      <w:tr w:rsidR="00CC5C9B" w:rsidTr="00D15656">
        <w:trPr>
          <w:trHeight w:val="397"/>
        </w:trPr>
        <w:tc>
          <w:tcPr>
            <w:tcW w:w="1161" w:type="dxa"/>
            <w:vMerge w:val="restart"/>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预算编制（</w:t>
            </w:r>
            <w:r>
              <w:rPr>
                <w:color w:val="000000"/>
                <w:kern w:val="0"/>
                <w:sz w:val="20"/>
                <w:szCs w:val="20"/>
              </w:rPr>
              <w:t>10</w:t>
            </w:r>
            <w:r>
              <w:rPr>
                <w:color w:val="000000"/>
                <w:kern w:val="0"/>
                <w:sz w:val="20"/>
                <w:szCs w:val="20"/>
              </w:rPr>
              <w:t>分）</w:t>
            </w:r>
          </w:p>
        </w:tc>
        <w:tc>
          <w:tcPr>
            <w:tcW w:w="2540" w:type="dxa"/>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报送时效（</w:t>
            </w:r>
            <w:r>
              <w:rPr>
                <w:color w:val="000000"/>
                <w:kern w:val="0"/>
                <w:sz w:val="20"/>
                <w:szCs w:val="20"/>
              </w:rPr>
              <w:t>1</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基础信息更新</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416"/>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val="restart"/>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编制质量（</w:t>
            </w:r>
            <w:r>
              <w:rPr>
                <w:color w:val="000000"/>
                <w:kern w:val="0"/>
                <w:sz w:val="20"/>
                <w:szCs w:val="20"/>
              </w:rPr>
              <w:t>2</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预算编制准确</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267"/>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部门预算审查</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427"/>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val="restart"/>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绩效目标（</w:t>
            </w:r>
            <w:r>
              <w:rPr>
                <w:rFonts w:hint="eastAsia"/>
                <w:color w:val="000000"/>
                <w:kern w:val="0"/>
                <w:sz w:val="20"/>
                <w:szCs w:val="20"/>
              </w:rPr>
              <w:t>7</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部门整体绩效目标</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309"/>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重点项目绩效目标</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4</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4</w:t>
            </w:r>
          </w:p>
        </w:tc>
      </w:tr>
      <w:tr w:rsidR="00CC5C9B" w:rsidTr="00D15656">
        <w:trPr>
          <w:trHeight w:val="416"/>
        </w:trPr>
        <w:tc>
          <w:tcPr>
            <w:tcW w:w="1161" w:type="dxa"/>
            <w:vMerge w:val="restart"/>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预算执行（</w:t>
            </w:r>
            <w:r>
              <w:rPr>
                <w:color w:val="000000"/>
                <w:kern w:val="0"/>
                <w:sz w:val="20"/>
                <w:szCs w:val="20"/>
              </w:rPr>
              <w:t>20</w:t>
            </w:r>
            <w:r>
              <w:rPr>
                <w:color w:val="000000"/>
                <w:kern w:val="0"/>
                <w:sz w:val="20"/>
                <w:szCs w:val="20"/>
              </w:rPr>
              <w:t>分）</w:t>
            </w:r>
          </w:p>
        </w:tc>
        <w:tc>
          <w:tcPr>
            <w:tcW w:w="2540" w:type="dxa"/>
            <w:vMerge w:val="restart"/>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执行进度（</w:t>
            </w:r>
            <w:r>
              <w:rPr>
                <w:color w:val="000000"/>
                <w:kern w:val="0"/>
                <w:sz w:val="20"/>
                <w:szCs w:val="20"/>
              </w:rPr>
              <w:t>10</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专项预算分配时限</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4</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r>
      <w:tr w:rsidR="00CC5C9B" w:rsidTr="00D15656">
        <w:trPr>
          <w:trHeight w:val="280"/>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财力分配合</w:t>
            </w:r>
            <w:proofErr w:type="gramStart"/>
            <w:r>
              <w:rPr>
                <w:color w:val="000000"/>
                <w:kern w:val="0"/>
                <w:sz w:val="20"/>
                <w:szCs w:val="20"/>
              </w:rPr>
              <w:t>规</w:t>
            </w:r>
            <w:proofErr w:type="gramEnd"/>
            <w:r>
              <w:rPr>
                <w:color w:val="000000"/>
                <w:kern w:val="0"/>
                <w:sz w:val="20"/>
                <w:szCs w:val="20"/>
              </w:rPr>
              <w:t>率</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3</w:t>
            </w:r>
          </w:p>
        </w:tc>
        <w:tc>
          <w:tcPr>
            <w:tcW w:w="759" w:type="dxa"/>
            <w:vAlign w:val="center"/>
          </w:tcPr>
          <w:p w:rsidR="00CC5C9B" w:rsidRDefault="00CC5C9B" w:rsidP="00D15656">
            <w:pPr>
              <w:widowControl/>
              <w:spacing w:line="240" w:lineRule="exact"/>
              <w:ind w:firstLineChars="100" w:firstLine="200"/>
              <w:rPr>
                <w:color w:val="000000"/>
                <w:kern w:val="0"/>
                <w:sz w:val="20"/>
                <w:szCs w:val="20"/>
              </w:rPr>
            </w:pPr>
            <w:r>
              <w:rPr>
                <w:rFonts w:hint="eastAsia"/>
                <w:color w:val="000000"/>
                <w:kern w:val="0"/>
                <w:sz w:val="20"/>
                <w:szCs w:val="20"/>
              </w:rPr>
              <w:t>2</w:t>
            </w:r>
          </w:p>
        </w:tc>
      </w:tr>
      <w:tr w:rsidR="00CC5C9B" w:rsidTr="00D15656">
        <w:trPr>
          <w:trHeight w:val="204"/>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部门预算执行进度</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3</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40"/>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预算调整（</w:t>
            </w:r>
            <w:r>
              <w:rPr>
                <w:color w:val="000000"/>
                <w:kern w:val="0"/>
                <w:sz w:val="20"/>
                <w:szCs w:val="20"/>
              </w:rPr>
              <w:t>4</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执行中期评估</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4</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r>
      <w:tr w:rsidR="00CC5C9B" w:rsidTr="00D15656">
        <w:trPr>
          <w:trHeight w:val="334"/>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val="restart"/>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行政成本（</w:t>
            </w:r>
            <w:r>
              <w:rPr>
                <w:color w:val="000000"/>
                <w:kern w:val="0"/>
                <w:sz w:val="20"/>
                <w:szCs w:val="20"/>
              </w:rPr>
              <w:t>6</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节能降耗</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3</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r>
      <w:tr w:rsidR="00CC5C9B" w:rsidTr="00D15656">
        <w:trPr>
          <w:trHeight w:val="255"/>
        </w:trPr>
        <w:tc>
          <w:tcPr>
            <w:tcW w:w="1161" w:type="dxa"/>
            <w:vMerge/>
            <w:tcBorders>
              <w:top w:val="single" w:sz="4" w:space="0" w:color="auto"/>
              <w:left w:val="single" w:sz="4" w:space="0" w:color="auto"/>
              <w:bottom w:val="single" w:sz="4" w:space="0" w:color="auto"/>
              <w:righ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2540" w:type="dxa"/>
            <w:vMerge/>
            <w:tcBorders>
              <w:left w:val="single" w:sz="4" w:space="0" w:color="auto"/>
            </w:tcBorders>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三</w:t>
            </w:r>
            <w:proofErr w:type="gramStart"/>
            <w:r>
              <w:rPr>
                <w:color w:val="000000"/>
                <w:kern w:val="0"/>
                <w:sz w:val="20"/>
                <w:szCs w:val="20"/>
              </w:rPr>
              <w:t>公经费</w:t>
            </w:r>
            <w:proofErr w:type="gramEnd"/>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3</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r>
      <w:tr w:rsidR="00CC5C9B" w:rsidTr="00D15656">
        <w:trPr>
          <w:trHeight w:val="285"/>
        </w:trPr>
        <w:tc>
          <w:tcPr>
            <w:tcW w:w="1161" w:type="dxa"/>
            <w:vMerge w:val="restart"/>
            <w:tcBorders>
              <w:top w:val="single" w:sz="4" w:space="0" w:color="auto"/>
            </w:tcBorders>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lastRenderedPageBreak/>
              <w:t>综合管理（</w:t>
            </w:r>
            <w:r>
              <w:rPr>
                <w:color w:val="000000"/>
                <w:kern w:val="0"/>
                <w:sz w:val="20"/>
                <w:szCs w:val="20"/>
              </w:rPr>
              <w:t>40</w:t>
            </w:r>
            <w:r>
              <w:rPr>
                <w:color w:val="000000"/>
                <w:kern w:val="0"/>
                <w:sz w:val="20"/>
                <w:szCs w:val="20"/>
              </w:rPr>
              <w:t>分）</w:t>
            </w:r>
          </w:p>
        </w:tc>
        <w:tc>
          <w:tcPr>
            <w:tcW w:w="2540"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债务管理（</w:t>
            </w:r>
            <w:r>
              <w:rPr>
                <w:color w:val="000000"/>
                <w:kern w:val="0"/>
                <w:sz w:val="20"/>
                <w:szCs w:val="20"/>
              </w:rPr>
              <w:t>2</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债务还本付息</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89"/>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restart"/>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非</w:t>
            </w:r>
            <w:proofErr w:type="gramStart"/>
            <w:r>
              <w:rPr>
                <w:color w:val="000000"/>
                <w:kern w:val="0"/>
                <w:sz w:val="20"/>
                <w:szCs w:val="20"/>
              </w:rPr>
              <w:t>税收入执收</w:t>
            </w:r>
            <w:proofErr w:type="gramEnd"/>
            <w:r>
              <w:rPr>
                <w:color w:val="000000"/>
                <w:kern w:val="0"/>
                <w:sz w:val="20"/>
                <w:szCs w:val="20"/>
              </w:rPr>
              <w:t>情况（</w:t>
            </w:r>
            <w:r>
              <w:rPr>
                <w:color w:val="000000"/>
                <w:kern w:val="0"/>
                <w:sz w:val="20"/>
                <w:szCs w:val="20"/>
              </w:rPr>
              <w:t>4</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非税收入征收情况</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83"/>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非税收入上缴情况</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55"/>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政府采购实施计划（</w:t>
            </w:r>
            <w:r>
              <w:rPr>
                <w:color w:val="000000"/>
                <w:kern w:val="0"/>
                <w:sz w:val="20"/>
                <w:szCs w:val="20"/>
              </w:rPr>
              <w:t>4</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政府采购实施计划编制</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4</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4</w:t>
            </w:r>
          </w:p>
        </w:tc>
      </w:tr>
      <w:tr w:rsidR="00CC5C9B" w:rsidTr="00D15656">
        <w:trPr>
          <w:trHeight w:val="337"/>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restart"/>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资产管理（</w:t>
            </w:r>
            <w:r>
              <w:rPr>
                <w:rFonts w:hint="eastAsia"/>
                <w:color w:val="000000"/>
                <w:kern w:val="0"/>
                <w:sz w:val="20"/>
                <w:szCs w:val="20"/>
              </w:rPr>
              <w:t>3</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资产管理信息系统建设情况</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267"/>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行政事业单位资产清查开展情况</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271"/>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行政事业单位资产报表上报情况</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1</w:t>
            </w:r>
          </w:p>
        </w:tc>
      </w:tr>
      <w:tr w:rsidR="00CC5C9B" w:rsidTr="00D15656">
        <w:trPr>
          <w:trHeight w:val="271"/>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财务管理（</w:t>
            </w:r>
            <w:r>
              <w:rPr>
                <w:rFonts w:hint="eastAsia"/>
                <w:color w:val="000000"/>
                <w:kern w:val="0"/>
                <w:sz w:val="20"/>
                <w:szCs w:val="20"/>
              </w:rPr>
              <w:t>3</w:t>
            </w:r>
            <w:r>
              <w:rPr>
                <w:rFonts w:hint="eastAsia"/>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财务工作合</w:t>
            </w:r>
            <w:proofErr w:type="gramStart"/>
            <w:r>
              <w:rPr>
                <w:rFonts w:hint="eastAsia"/>
                <w:color w:val="000000"/>
                <w:kern w:val="0"/>
                <w:sz w:val="20"/>
                <w:szCs w:val="20"/>
              </w:rPr>
              <w:t>规</w:t>
            </w:r>
            <w:proofErr w:type="gramEnd"/>
            <w:r>
              <w:rPr>
                <w:rFonts w:hint="eastAsia"/>
                <w:color w:val="000000"/>
                <w:kern w:val="0"/>
                <w:sz w:val="20"/>
                <w:szCs w:val="20"/>
              </w:rPr>
              <w:t>性</w:t>
            </w:r>
          </w:p>
        </w:tc>
        <w:tc>
          <w:tcPr>
            <w:tcW w:w="851"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3</w:t>
            </w:r>
          </w:p>
        </w:tc>
      </w:tr>
      <w:tr w:rsidR="00CC5C9B" w:rsidTr="00D15656">
        <w:trPr>
          <w:trHeight w:val="275"/>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内控制度管理（</w:t>
            </w:r>
            <w:r>
              <w:rPr>
                <w:color w:val="000000"/>
                <w:kern w:val="0"/>
                <w:sz w:val="20"/>
                <w:szCs w:val="20"/>
              </w:rPr>
              <w:t>2</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内部控制</w:t>
            </w:r>
            <w:proofErr w:type="gramStart"/>
            <w:r>
              <w:rPr>
                <w:color w:val="000000"/>
                <w:kern w:val="0"/>
                <w:sz w:val="20"/>
                <w:szCs w:val="20"/>
              </w:rPr>
              <w:t>度健全</w:t>
            </w:r>
            <w:proofErr w:type="gramEnd"/>
            <w:r>
              <w:rPr>
                <w:color w:val="000000"/>
                <w:kern w:val="0"/>
                <w:sz w:val="20"/>
                <w:szCs w:val="20"/>
              </w:rPr>
              <w:t>完整</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79"/>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restart"/>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信息公开（</w:t>
            </w:r>
            <w:r>
              <w:rPr>
                <w:color w:val="000000"/>
                <w:kern w:val="0"/>
                <w:sz w:val="20"/>
                <w:szCs w:val="20"/>
              </w:rPr>
              <w:t>6</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预算公开</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69"/>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决算公开</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73"/>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绩效信息公开</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63"/>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restart"/>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绩效</w:t>
            </w:r>
            <w:r>
              <w:rPr>
                <w:rFonts w:hint="eastAsia"/>
                <w:color w:val="000000"/>
                <w:kern w:val="0"/>
                <w:sz w:val="20"/>
                <w:szCs w:val="20"/>
              </w:rPr>
              <w:t>自评</w:t>
            </w:r>
            <w:r>
              <w:rPr>
                <w:color w:val="000000"/>
                <w:kern w:val="0"/>
                <w:sz w:val="20"/>
                <w:szCs w:val="20"/>
              </w:rPr>
              <w:t>（</w:t>
            </w:r>
            <w:r>
              <w:rPr>
                <w:color w:val="000000"/>
                <w:kern w:val="0"/>
                <w:sz w:val="20"/>
                <w:szCs w:val="20"/>
              </w:rPr>
              <w:t>10</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评价项目覆盖率</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81"/>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评价层次</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77"/>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评价结果报告</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75"/>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整改完成率</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4</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4</w:t>
            </w:r>
          </w:p>
        </w:tc>
      </w:tr>
      <w:tr w:rsidR="00CC5C9B" w:rsidTr="00D15656">
        <w:trPr>
          <w:trHeight w:val="279"/>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restart"/>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依法接受</w:t>
            </w:r>
            <w:r>
              <w:rPr>
                <w:rFonts w:hint="eastAsia"/>
                <w:color w:val="000000"/>
                <w:kern w:val="0"/>
                <w:sz w:val="20"/>
                <w:szCs w:val="20"/>
              </w:rPr>
              <w:t>监督检查</w:t>
            </w:r>
            <w:r>
              <w:rPr>
                <w:color w:val="000000"/>
                <w:kern w:val="0"/>
                <w:sz w:val="20"/>
                <w:szCs w:val="20"/>
              </w:rPr>
              <w:t>（</w:t>
            </w:r>
            <w:r>
              <w:rPr>
                <w:color w:val="000000"/>
                <w:kern w:val="0"/>
                <w:sz w:val="20"/>
                <w:szCs w:val="20"/>
              </w:rPr>
              <w:t>6</w:t>
            </w:r>
            <w:r>
              <w:rPr>
                <w:color w:val="000000"/>
                <w:kern w:val="0"/>
                <w:sz w:val="20"/>
                <w:szCs w:val="20"/>
              </w:rPr>
              <w:t>分）</w:t>
            </w: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是否按要求开展自查自纠</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397"/>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重点检查发现违规违纪问题</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274"/>
        </w:trPr>
        <w:tc>
          <w:tcPr>
            <w:tcW w:w="1161" w:type="dxa"/>
            <w:vMerge/>
            <w:vAlign w:val="center"/>
          </w:tcPr>
          <w:p w:rsidR="00CC5C9B" w:rsidRDefault="00CC5C9B" w:rsidP="00D15656">
            <w:pPr>
              <w:widowControl/>
              <w:spacing w:line="240" w:lineRule="exact"/>
              <w:jc w:val="center"/>
              <w:rPr>
                <w:color w:val="000000"/>
                <w:kern w:val="0"/>
                <w:sz w:val="20"/>
                <w:szCs w:val="20"/>
              </w:rPr>
            </w:pPr>
          </w:p>
        </w:tc>
        <w:tc>
          <w:tcPr>
            <w:tcW w:w="2540" w:type="dxa"/>
            <w:vMerge/>
            <w:vAlign w:val="center"/>
          </w:tcPr>
          <w:p w:rsidR="00CC5C9B" w:rsidRDefault="00CC5C9B" w:rsidP="00D15656">
            <w:pPr>
              <w:widowControl/>
              <w:spacing w:line="240" w:lineRule="exact"/>
              <w:jc w:val="center"/>
              <w:rPr>
                <w:color w:val="000000"/>
                <w:kern w:val="0"/>
                <w:sz w:val="20"/>
                <w:szCs w:val="20"/>
              </w:rPr>
            </w:pPr>
          </w:p>
        </w:tc>
        <w:tc>
          <w:tcPr>
            <w:tcW w:w="3118"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存在问题整改是否到位</w:t>
            </w:r>
          </w:p>
        </w:tc>
        <w:tc>
          <w:tcPr>
            <w:tcW w:w="85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2</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w:t>
            </w:r>
          </w:p>
        </w:tc>
      </w:tr>
      <w:tr w:rsidR="00CC5C9B" w:rsidTr="00D15656">
        <w:trPr>
          <w:trHeight w:val="796"/>
        </w:trPr>
        <w:tc>
          <w:tcPr>
            <w:tcW w:w="1161"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整体效益（</w:t>
            </w:r>
            <w:r>
              <w:rPr>
                <w:color w:val="000000"/>
                <w:kern w:val="0"/>
                <w:sz w:val="20"/>
                <w:szCs w:val="20"/>
              </w:rPr>
              <w:t>30</w:t>
            </w:r>
            <w:r>
              <w:rPr>
                <w:color w:val="000000"/>
                <w:kern w:val="0"/>
                <w:sz w:val="20"/>
                <w:szCs w:val="20"/>
              </w:rPr>
              <w:t>分）</w:t>
            </w:r>
          </w:p>
        </w:tc>
        <w:tc>
          <w:tcPr>
            <w:tcW w:w="2540" w:type="dxa"/>
            <w:vAlign w:val="center"/>
          </w:tcPr>
          <w:p w:rsidR="00CC5C9B" w:rsidRDefault="00CC5C9B" w:rsidP="00D15656">
            <w:pPr>
              <w:widowControl/>
              <w:spacing w:line="240" w:lineRule="exact"/>
              <w:jc w:val="center"/>
              <w:rPr>
                <w:color w:val="000000"/>
                <w:kern w:val="0"/>
                <w:sz w:val="20"/>
                <w:szCs w:val="20"/>
              </w:rPr>
            </w:pPr>
            <w:r>
              <w:rPr>
                <w:color w:val="000000"/>
                <w:kern w:val="0"/>
                <w:sz w:val="20"/>
                <w:szCs w:val="20"/>
              </w:rPr>
              <w:t>部门整体绩效（</w:t>
            </w:r>
            <w:r>
              <w:rPr>
                <w:color w:val="000000"/>
                <w:kern w:val="0"/>
                <w:sz w:val="20"/>
                <w:szCs w:val="20"/>
              </w:rPr>
              <w:t>30</w:t>
            </w:r>
            <w:r>
              <w:rPr>
                <w:color w:val="000000"/>
                <w:kern w:val="0"/>
                <w:sz w:val="20"/>
                <w:szCs w:val="20"/>
              </w:rPr>
              <w:t>分）</w:t>
            </w:r>
          </w:p>
        </w:tc>
        <w:tc>
          <w:tcPr>
            <w:tcW w:w="3118" w:type="dxa"/>
            <w:vAlign w:val="center"/>
          </w:tcPr>
          <w:p w:rsidR="00CC5C9B" w:rsidRDefault="00CC5C9B" w:rsidP="00D15656">
            <w:pPr>
              <w:spacing w:line="240" w:lineRule="exact"/>
              <w:jc w:val="center"/>
              <w:rPr>
                <w:color w:val="000000"/>
                <w:kern w:val="0"/>
                <w:sz w:val="20"/>
                <w:szCs w:val="20"/>
              </w:rPr>
            </w:pPr>
            <w:r>
              <w:rPr>
                <w:color w:val="000000"/>
                <w:kern w:val="0"/>
                <w:sz w:val="20"/>
                <w:szCs w:val="20"/>
              </w:rPr>
              <w:t>部门职能</w:t>
            </w:r>
            <w:r>
              <w:rPr>
                <w:rFonts w:hint="eastAsia"/>
                <w:color w:val="000000"/>
                <w:kern w:val="0"/>
                <w:sz w:val="20"/>
                <w:szCs w:val="20"/>
              </w:rPr>
              <w:t>、目标年度</w:t>
            </w:r>
            <w:r>
              <w:rPr>
                <w:color w:val="000000"/>
                <w:kern w:val="0"/>
                <w:sz w:val="20"/>
                <w:szCs w:val="20"/>
              </w:rPr>
              <w:t>完成情况</w:t>
            </w:r>
          </w:p>
        </w:tc>
        <w:tc>
          <w:tcPr>
            <w:tcW w:w="851" w:type="dxa"/>
            <w:vAlign w:val="center"/>
          </w:tcPr>
          <w:p w:rsidR="00CC5C9B" w:rsidRDefault="00CC5C9B" w:rsidP="00D15656">
            <w:pPr>
              <w:spacing w:line="240" w:lineRule="exact"/>
              <w:jc w:val="center"/>
              <w:rPr>
                <w:color w:val="000000"/>
                <w:kern w:val="0"/>
                <w:sz w:val="20"/>
                <w:szCs w:val="20"/>
              </w:rPr>
            </w:pPr>
            <w:r>
              <w:rPr>
                <w:rFonts w:hint="eastAsia"/>
                <w:color w:val="000000"/>
                <w:kern w:val="0"/>
                <w:sz w:val="20"/>
                <w:szCs w:val="20"/>
              </w:rPr>
              <w:t>3</w:t>
            </w:r>
            <w:r>
              <w:rPr>
                <w:color w:val="000000"/>
                <w:kern w:val="0"/>
                <w:sz w:val="20"/>
                <w:szCs w:val="20"/>
              </w:rPr>
              <w:t>0</w:t>
            </w:r>
          </w:p>
        </w:tc>
        <w:tc>
          <w:tcPr>
            <w:tcW w:w="759" w:type="dxa"/>
            <w:vAlign w:val="center"/>
          </w:tcPr>
          <w:p w:rsidR="00CC5C9B" w:rsidRDefault="00CC5C9B" w:rsidP="00D15656">
            <w:pPr>
              <w:widowControl/>
              <w:spacing w:line="240" w:lineRule="exact"/>
              <w:jc w:val="center"/>
              <w:rPr>
                <w:color w:val="000000"/>
                <w:kern w:val="0"/>
                <w:sz w:val="20"/>
                <w:szCs w:val="20"/>
              </w:rPr>
            </w:pPr>
            <w:r>
              <w:rPr>
                <w:rFonts w:hint="eastAsia"/>
                <w:color w:val="000000"/>
                <w:kern w:val="0"/>
                <w:sz w:val="20"/>
                <w:szCs w:val="20"/>
              </w:rPr>
              <w:t>25</w:t>
            </w:r>
          </w:p>
        </w:tc>
      </w:tr>
      <w:tr w:rsidR="00CC5C9B" w:rsidTr="00D15656">
        <w:trPr>
          <w:trHeight w:val="708"/>
        </w:trPr>
        <w:tc>
          <w:tcPr>
            <w:tcW w:w="6819" w:type="dxa"/>
            <w:gridSpan w:val="3"/>
            <w:vAlign w:val="center"/>
          </w:tcPr>
          <w:p w:rsidR="00CC5C9B" w:rsidRDefault="00CC5C9B" w:rsidP="00D15656">
            <w:pPr>
              <w:widowControl/>
              <w:spacing w:line="240" w:lineRule="exact"/>
              <w:jc w:val="center"/>
              <w:rPr>
                <w:rFonts w:eastAsia="黑体"/>
                <w:b/>
                <w:color w:val="000000"/>
                <w:kern w:val="0"/>
                <w:sz w:val="24"/>
              </w:rPr>
            </w:pPr>
            <w:r>
              <w:rPr>
                <w:rFonts w:eastAsia="黑体"/>
                <w:b/>
                <w:color w:val="000000"/>
                <w:kern w:val="0"/>
                <w:sz w:val="24"/>
              </w:rPr>
              <w:t>总</w:t>
            </w:r>
            <w:r>
              <w:rPr>
                <w:rFonts w:eastAsia="黑体"/>
                <w:b/>
                <w:color w:val="000000"/>
                <w:kern w:val="0"/>
                <w:sz w:val="24"/>
              </w:rPr>
              <w:t xml:space="preserve">  </w:t>
            </w:r>
            <w:r>
              <w:rPr>
                <w:rFonts w:eastAsia="黑体"/>
                <w:b/>
                <w:color w:val="000000"/>
                <w:kern w:val="0"/>
                <w:sz w:val="24"/>
              </w:rPr>
              <w:t>分</w:t>
            </w:r>
          </w:p>
        </w:tc>
        <w:tc>
          <w:tcPr>
            <w:tcW w:w="851" w:type="dxa"/>
            <w:vAlign w:val="center"/>
          </w:tcPr>
          <w:p w:rsidR="00CC5C9B" w:rsidRDefault="00CC5C9B" w:rsidP="00D15656">
            <w:pPr>
              <w:widowControl/>
              <w:spacing w:line="240" w:lineRule="exact"/>
              <w:jc w:val="center"/>
              <w:rPr>
                <w:rFonts w:eastAsia="黑体"/>
                <w:b/>
                <w:color w:val="000000"/>
                <w:kern w:val="0"/>
                <w:sz w:val="24"/>
              </w:rPr>
            </w:pPr>
            <w:r>
              <w:rPr>
                <w:rFonts w:eastAsia="黑体"/>
                <w:b/>
                <w:color w:val="000000"/>
                <w:kern w:val="0"/>
                <w:sz w:val="24"/>
              </w:rPr>
              <w:t>100</w:t>
            </w:r>
          </w:p>
        </w:tc>
        <w:tc>
          <w:tcPr>
            <w:tcW w:w="759" w:type="dxa"/>
            <w:vAlign w:val="center"/>
          </w:tcPr>
          <w:p w:rsidR="00CC5C9B" w:rsidRDefault="00CC5C9B" w:rsidP="00D15656">
            <w:pPr>
              <w:widowControl/>
              <w:spacing w:line="240" w:lineRule="exact"/>
              <w:jc w:val="center"/>
              <w:rPr>
                <w:rFonts w:eastAsia="黑体"/>
                <w:b/>
                <w:color w:val="000000"/>
                <w:kern w:val="0"/>
                <w:sz w:val="24"/>
              </w:rPr>
            </w:pPr>
            <w:r>
              <w:rPr>
                <w:rFonts w:eastAsia="黑体" w:hint="eastAsia"/>
                <w:b/>
                <w:color w:val="000000"/>
                <w:kern w:val="0"/>
                <w:sz w:val="24"/>
              </w:rPr>
              <w:t>90</w:t>
            </w:r>
          </w:p>
        </w:tc>
      </w:tr>
      <w:tr w:rsidR="00CC5C9B" w:rsidTr="00D15656">
        <w:trPr>
          <w:trHeight w:val="708"/>
        </w:trPr>
        <w:tc>
          <w:tcPr>
            <w:tcW w:w="8429" w:type="dxa"/>
            <w:gridSpan w:val="5"/>
            <w:vAlign w:val="center"/>
          </w:tcPr>
          <w:p w:rsidR="00CC5C9B" w:rsidRDefault="00CC5C9B" w:rsidP="00D15656">
            <w:pPr>
              <w:widowControl/>
              <w:spacing w:line="240" w:lineRule="exact"/>
              <w:jc w:val="left"/>
              <w:rPr>
                <w:color w:val="000000"/>
                <w:kern w:val="0"/>
                <w:sz w:val="20"/>
                <w:szCs w:val="20"/>
              </w:rPr>
            </w:pPr>
            <w:r>
              <w:rPr>
                <w:color w:val="000000"/>
                <w:kern w:val="0"/>
                <w:sz w:val="20"/>
                <w:szCs w:val="20"/>
              </w:rPr>
              <w:t>注：若某部门（单位）不存在某项评价内容或评价指标，则该评价内容或评价指标不计入该部门（单位）考核评价范围，即该部门（单位）评价总分＝不含该评价内容或指标的评价总分</w:t>
            </w:r>
            <w:r>
              <w:rPr>
                <w:color w:val="000000"/>
                <w:kern w:val="0"/>
                <w:sz w:val="20"/>
                <w:szCs w:val="20"/>
              </w:rPr>
              <w:t>/</w:t>
            </w:r>
            <w:r>
              <w:rPr>
                <w:color w:val="000000"/>
                <w:kern w:val="0"/>
                <w:sz w:val="20"/>
                <w:szCs w:val="20"/>
              </w:rPr>
              <w:t>（</w:t>
            </w:r>
            <w:r>
              <w:rPr>
                <w:color w:val="000000"/>
                <w:kern w:val="0"/>
                <w:sz w:val="20"/>
                <w:szCs w:val="20"/>
              </w:rPr>
              <w:t>100-</w:t>
            </w:r>
            <w:r>
              <w:rPr>
                <w:color w:val="000000"/>
                <w:kern w:val="0"/>
                <w:sz w:val="20"/>
                <w:szCs w:val="20"/>
              </w:rPr>
              <w:t>该评价内容或指标所占分值）</w:t>
            </w:r>
            <w:r>
              <w:rPr>
                <w:color w:val="000000"/>
                <w:kern w:val="0"/>
                <w:sz w:val="20"/>
                <w:szCs w:val="20"/>
              </w:rPr>
              <w:t>*100</w:t>
            </w:r>
            <w:r>
              <w:rPr>
                <w:color w:val="000000"/>
                <w:kern w:val="0"/>
                <w:sz w:val="20"/>
                <w:szCs w:val="20"/>
              </w:rPr>
              <w:t>。</w:t>
            </w:r>
          </w:p>
        </w:tc>
      </w:tr>
    </w:tbl>
    <w:p w:rsidR="00CC5C9B" w:rsidRPr="003D3861" w:rsidRDefault="00CC5C9B" w:rsidP="00CC5C9B">
      <w:pPr>
        <w:spacing w:line="580" w:lineRule="exact"/>
        <w:ind w:firstLineChars="200" w:firstLine="643"/>
        <w:rPr>
          <w:rFonts w:ascii="宋体" w:hAnsi="宋体" w:cs="仿宋_GB2312"/>
          <w:b/>
          <w:kern w:val="0"/>
          <w:sz w:val="32"/>
          <w:szCs w:val="32"/>
        </w:rPr>
      </w:pPr>
      <w:r>
        <w:rPr>
          <w:rFonts w:ascii="宋体" w:hAnsi="宋体" w:cs="仿宋_GB2312" w:hint="eastAsia"/>
          <w:b/>
          <w:kern w:val="0"/>
          <w:sz w:val="32"/>
          <w:szCs w:val="32"/>
        </w:rPr>
        <w:t>六</w:t>
      </w:r>
      <w:r w:rsidRPr="003D3861">
        <w:rPr>
          <w:rFonts w:ascii="宋体" w:hAnsi="宋体" w:cs="仿宋_GB2312"/>
          <w:b/>
          <w:kern w:val="0"/>
          <w:sz w:val="32"/>
          <w:szCs w:val="32"/>
        </w:rPr>
        <w:t>、主要问题</w:t>
      </w:r>
    </w:p>
    <w:p w:rsidR="00CC5C9B" w:rsidRPr="003D3861" w:rsidRDefault="00CC5C9B" w:rsidP="00CC5C9B">
      <w:pPr>
        <w:spacing w:line="580" w:lineRule="exact"/>
        <w:ind w:firstLineChars="200" w:firstLine="640"/>
        <w:rPr>
          <w:rFonts w:ascii="宋体" w:hAnsi="宋体" w:cs="仿宋_GB2312"/>
          <w:kern w:val="0"/>
          <w:sz w:val="32"/>
          <w:szCs w:val="32"/>
        </w:rPr>
      </w:pPr>
      <w:r w:rsidRPr="003D3861">
        <w:rPr>
          <w:rFonts w:ascii="宋体" w:hAnsi="宋体" w:cs="仿宋_GB2312" w:hint="eastAsia"/>
          <w:kern w:val="0"/>
          <w:sz w:val="32"/>
          <w:szCs w:val="32"/>
        </w:rPr>
        <w:t>一些项目在存在支付进度较慢的问题。</w:t>
      </w:r>
    </w:p>
    <w:p w:rsidR="00CC5C9B" w:rsidRPr="003D3861" w:rsidRDefault="00CC5C9B" w:rsidP="00CC5C9B">
      <w:pPr>
        <w:spacing w:line="600" w:lineRule="exact"/>
        <w:ind w:firstLineChars="200" w:firstLine="643"/>
        <w:rPr>
          <w:rFonts w:ascii="宋体" w:hAnsi="宋体" w:cs="仿宋_GB2312"/>
          <w:b/>
          <w:kern w:val="0"/>
          <w:sz w:val="32"/>
          <w:szCs w:val="32"/>
        </w:rPr>
      </w:pPr>
      <w:r>
        <w:rPr>
          <w:rFonts w:ascii="宋体" w:hAnsi="宋体" w:cs="仿宋_GB2312" w:hint="eastAsia"/>
          <w:b/>
          <w:kern w:val="0"/>
          <w:sz w:val="32"/>
          <w:szCs w:val="32"/>
        </w:rPr>
        <w:t>七</w:t>
      </w:r>
      <w:r w:rsidRPr="003D3861">
        <w:rPr>
          <w:rFonts w:ascii="宋体" w:hAnsi="宋体" w:cs="仿宋_GB2312"/>
          <w:b/>
          <w:kern w:val="0"/>
          <w:sz w:val="32"/>
          <w:szCs w:val="32"/>
        </w:rPr>
        <w:t>、改进计划</w:t>
      </w:r>
    </w:p>
    <w:p w:rsidR="00CC5C9B" w:rsidRPr="003D3861" w:rsidRDefault="00CC5C9B" w:rsidP="00CC5C9B">
      <w:pPr>
        <w:ind w:firstLineChars="200" w:firstLine="640"/>
        <w:jc w:val="left"/>
        <w:rPr>
          <w:rFonts w:ascii="宋体" w:hAnsi="宋体" w:cs="仿宋_GB2312"/>
          <w:kern w:val="0"/>
          <w:sz w:val="32"/>
          <w:szCs w:val="32"/>
        </w:rPr>
      </w:pPr>
      <w:r w:rsidRPr="003D3861">
        <w:rPr>
          <w:rFonts w:ascii="宋体" w:hAnsi="宋体" w:cs="仿宋_GB2312" w:hint="eastAsia"/>
          <w:kern w:val="0"/>
          <w:sz w:val="32"/>
          <w:szCs w:val="32"/>
        </w:rPr>
        <w:t>学校将积极与上级部门、财政部门多方联系，在以后的工作中，进一步加快推动项目建设进程，确保按照</w:t>
      </w:r>
      <w:r>
        <w:rPr>
          <w:rFonts w:ascii="宋体" w:hAnsi="宋体" w:cs="仿宋_GB2312" w:hint="eastAsia"/>
          <w:kern w:val="0"/>
          <w:sz w:val="32"/>
          <w:szCs w:val="32"/>
        </w:rPr>
        <w:t>项目</w:t>
      </w:r>
      <w:r w:rsidRPr="003D3861">
        <w:rPr>
          <w:rFonts w:ascii="宋体" w:hAnsi="宋体" w:cs="仿宋_GB2312" w:hint="eastAsia"/>
          <w:kern w:val="0"/>
          <w:sz w:val="32"/>
          <w:szCs w:val="32"/>
        </w:rPr>
        <w:t>建设方案，在规定时间内高效、高质量的完成项目建设。</w:t>
      </w:r>
    </w:p>
    <w:p w:rsidR="00CC5C9B" w:rsidRDefault="00CC5C9B" w:rsidP="00920FE9">
      <w:pPr>
        <w:pStyle w:val="a0"/>
        <w:spacing w:before="93"/>
        <w:ind w:firstLineChars="300" w:firstLine="964"/>
        <w:jc w:val="center"/>
        <w:rPr>
          <w:rFonts w:ascii="宋体" w:hAnsi="宋体" w:cs="宋体"/>
          <w:b/>
          <w:sz w:val="32"/>
          <w:szCs w:val="32"/>
        </w:rPr>
      </w:pPr>
    </w:p>
    <w:p w:rsidR="00CC5C9B" w:rsidRDefault="00CC5C9B" w:rsidP="00920FE9">
      <w:pPr>
        <w:pStyle w:val="a0"/>
        <w:spacing w:before="93"/>
        <w:ind w:firstLineChars="300" w:firstLine="964"/>
        <w:jc w:val="center"/>
        <w:rPr>
          <w:rFonts w:ascii="宋体" w:hAnsi="宋体" w:cs="宋体"/>
          <w:b/>
          <w:sz w:val="32"/>
          <w:szCs w:val="32"/>
        </w:rPr>
      </w:pPr>
    </w:p>
    <w:p w:rsidR="00CC5C9B" w:rsidRDefault="00CC5C9B" w:rsidP="00920FE9">
      <w:pPr>
        <w:pStyle w:val="a0"/>
        <w:spacing w:before="93"/>
        <w:ind w:firstLineChars="300" w:firstLine="964"/>
        <w:jc w:val="center"/>
        <w:rPr>
          <w:rFonts w:ascii="宋体" w:hAnsi="宋体" w:cs="宋体"/>
          <w:b/>
          <w:sz w:val="32"/>
          <w:szCs w:val="32"/>
        </w:rPr>
      </w:pPr>
    </w:p>
    <w:p w:rsidR="003A0E8C" w:rsidRDefault="003A0E8C" w:rsidP="00920FE9">
      <w:pPr>
        <w:pStyle w:val="a0"/>
        <w:spacing w:before="93"/>
        <w:ind w:firstLineChars="300" w:firstLine="964"/>
        <w:jc w:val="center"/>
        <w:rPr>
          <w:rFonts w:ascii="宋体" w:hAnsi="宋体" w:cs="宋体"/>
          <w:b/>
          <w:sz w:val="32"/>
          <w:szCs w:val="32"/>
        </w:rPr>
      </w:pPr>
      <w:r>
        <w:rPr>
          <w:rFonts w:ascii="宋体" w:hAnsi="宋体" w:cs="宋体" w:hint="eastAsia"/>
          <w:b/>
          <w:sz w:val="32"/>
          <w:szCs w:val="32"/>
        </w:rPr>
        <w:lastRenderedPageBreak/>
        <w:t>2021</w:t>
      </w:r>
      <w:r>
        <w:rPr>
          <w:rFonts w:ascii="宋体" w:hAnsi="宋体" w:cs="宋体" w:hint="eastAsia"/>
          <w:b/>
          <w:sz w:val="32"/>
          <w:szCs w:val="32"/>
        </w:rPr>
        <w:t>年外聘教师经费项目自评报告</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2025"/>
        <w:gridCol w:w="1170"/>
        <w:gridCol w:w="1675"/>
        <w:gridCol w:w="1218"/>
        <w:gridCol w:w="1254"/>
        <w:gridCol w:w="2469"/>
      </w:tblGrid>
      <w:tr w:rsidR="00D15656" w:rsidTr="00D15656">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textAlignment w:val="center"/>
              <w:rPr>
                <w:rFonts w:ascii="宋体" w:hAnsi="宋体" w:cs="宋体"/>
                <w:sz w:val="24"/>
              </w:rPr>
            </w:pPr>
            <w:r w:rsidRPr="007A06AD">
              <w:rPr>
                <w:rFonts w:ascii="宋体" w:hAnsi="宋体" w:cs="宋体" w:hint="eastAsia"/>
                <w:sz w:val="24"/>
              </w:rPr>
              <w:t>宜宾市教育和体育局1</w:t>
            </w:r>
            <w:r w:rsidRPr="007A06AD">
              <w:rPr>
                <w:rFonts w:ascii="宋体" w:hAnsi="宋体" w:cs="宋体"/>
                <w:sz w:val="24"/>
              </w:rPr>
              <w:t>35001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sz w:val="24"/>
              </w:rPr>
              <w:t>四川省宜宾市职业技术学校</w:t>
            </w:r>
          </w:p>
        </w:tc>
      </w:tr>
      <w:tr w:rsidR="00D15656" w:rsidTr="00D15656">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3A0E8C" w:rsidP="00D15656">
            <w:pPr>
              <w:widowControl/>
              <w:spacing w:line="320" w:lineRule="exact"/>
              <w:jc w:val="left"/>
              <w:textAlignment w:val="center"/>
              <w:rPr>
                <w:rFonts w:ascii="宋体" w:hAnsi="宋体" w:cs="宋体"/>
                <w:sz w:val="24"/>
              </w:rPr>
            </w:pPr>
            <w:r>
              <w:rPr>
                <w:rFonts w:ascii="宋体" w:hAnsi="宋体" w:cs="宋体" w:hint="eastAsia"/>
                <w:sz w:val="24"/>
              </w:rPr>
              <w:t>70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3A0E8C" w:rsidP="00D15656">
            <w:pPr>
              <w:widowControl/>
              <w:spacing w:line="320" w:lineRule="exact"/>
              <w:jc w:val="right"/>
              <w:textAlignment w:val="center"/>
              <w:rPr>
                <w:rFonts w:ascii="宋体" w:hAnsi="宋体" w:cs="宋体"/>
                <w:sz w:val="24"/>
              </w:rPr>
            </w:pPr>
            <w:r>
              <w:rPr>
                <w:rFonts w:ascii="宋体" w:hAnsi="宋体" w:cs="宋体" w:hint="eastAsia"/>
                <w:sz w:val="24"/>
              </w:rPr>
              <w:t>70</w:t>
            </w:r>
          </w:p>
        </w:tc>
      </w:tr>
      <w:tr w:rsidR="00D15656" w:rsidTr="00D15656">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3A0E8C" w:rsidP="00D15656">
            <w:pPr>
              <w:widowControl/>
              <w:spacing w:line="320" w:lineRule="exact"/>
              <w:jc w:val="left"/>
              <w:textAlignment w:val="center"/>
              <w:rPr>
                <w:rFonts w:ascii="宋体" w:hAnsi="宋体" w:cs="宋体"/>
                <w:sz w:val="24"/>
              </w:rPr>
            </w:pPr>
            <w:r>
              <w:rPr>
                <w:rFonts w:ascii="宋体" w:hAnsi="宋体" w:cs="宋体" w:hint="eastAsia"/>
                <w:sz w:val="24"/>
              </w:rPr>
              <w:t>70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3A0E8C" w:rsidP="003A0E8C">
            <w:pPr>
              <w:widowControl/>
              <w:spacing w:line="320" w:lineRule="exact"/>
              <w:ind w:firstLineChars="800" w:firstLine="1920"/>
              <w:textAlignment w:val="center"/>
              <w:rPr>
                <w:rFonts w:ascii="宋体" w:hAnsi="宋体" w:cs="宋体"/>
                <w:sz w:val="24"/>
              </w:rPr>
            </w:pPr>
            <w:r>
              <w:rPr>
                <w:rFonts w:ascii="宋体" w:hAnsi="宋体" w:cs="宋体" w:hint="eastAsia"/>
                <w:sz w:val="24"/>
              </w:rPr>
              <w:t>70</w:t>
            </w:r>
          </w:p>
        </w:tc>
      </w:tr>
      <w:tr w:rsidR="00D15656" w:rsidTr="00D15656">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sz w:val="24"/>
              </w:rPr>
              <w:t>0</w:t>
            </w:r>
          </w:p>
        </w:tc>
      </w:tr>
      <w:tr w:rsidR="00D15656" w:rsidTr="00D15656">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D15656" w:rsidTr="00D15656">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宋体" w:hAnsi="宋体" w:cs="宋体"/>
                <w:sz w:val="24"/>
              </w:rPr>
            </w:p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rsidR="00D15656" w:rsidRDefault="003A0E8C" w:rsidP="00D15656">
            <w:pPr>
              <w:widowControl/>
              <w:spacing w:line="320" w:lineRule="exact"/>
              <w:jc w:val="left"/>
              <w:textAlignment w:val="top"/>
              <w:rPr>
                <w:rFonts w:ascii="宋体" w:hAnsi="宋体" w:cs="宋体"/>
                <w:sz w:val="24"/>
              </w:rPr>
            </w:pPr>
            <w:r w:rsidRPr="003A0E8C">
              <w:rPr>
                <w:rFonts w:ascii="宋体" w:hAnsi="宋体" w:cs="宋体" w:hint="eastAsia"/>
                <w:sz w:val="24"/>
              </w:rPr>
              <w:t>宜宾市职业技术学校（宜宾技师学院）随着学校事业的不断发展，在今年技师学院正式招生后已超额完成了招生任务，初中起点招生3329人，高中起点招生816人，较上年扩大招生人数1000余名；2020年秋</w:t>
            </w:r>
            <w:proofErr w:type="gramStart"/>
            <w:r w:rsidRPr="003A0E8C">
              <w:rPr>
                <w:rFonts w:ascii="宋体" w:hAnsi="宋体" w:cs="宋体" w:hint="eastAsia"/>
                <w:sz w:val="24"/>
              </w:rPr>
              <w:t>期学校</w:t>
            </w:r>
            <w:proofErr w:type="gramEnd"/>
            <w:r w:rsidRPr="003A0E8C">
              <w:rPr>
                <w:rFonts w:ascii="宋体" w:hAnsi="宋体" w:cs="宋体" w:hint="eastAsia"/>
                <w:sz w:val="24"/>
              </w:rPr>
              <w:t>全日制学生人数已达9159人（其中</w:t>
            </w:r>
            <w:proofErr w:type="gramStart"/>
            <w:r w:rsidRPr="003A0E8C">
              <w:rPr>
                <w:rFonts w:ascii="宋体" w:hAnsi="宋体" w:cs="宋体" w:hint="eastAsia"/>
                <w:sz w:val="24"/>
              </w:rPr>
              <w:t>中</w:t>
            </w:r>
            <w:proofErr w:type="gramEnd"/>
            <w:r w:rsidRPr="003A0E8C">
              <w:rPr>
                <w:rFonts w:ascii="宋体" w:hAnsi="宋体" w:cs="宋体" w:hint="eastAsia"/>
                <w:sz w:val="24"/>
              </w:rPr>
              <w:t>职学籍7258人，高级工班1835人，预备技师班166人）。按照相关标准测算，需编制562人。目前，我校教师编制严重不足，本期我校已外聘临时代课教师来解决学校缺编的问题。2021年拟继续外聘教师保证学校正常教育教学需要，同时，外聘行业和企业专家指导学校专业建设和教育教学改革。</w:t>
            </w:r>
            <w:r w:rsidRPr="003A0E8C">
              <w:rPr>
                <w:rFonts w:ascii="宋体" w:hAnsi="宋体" w:cs="宋体"/>
                <w:sz w:val="24"/>
              </w:rPr>
              <w:tab/>
            </w:r>
            <w:r w:rsidRPr="003A0E8C">
              <w:rPr>
                <w:rFonts w:ascii="宋体" w:hAnsi="宋体" w:cs="宋体"/>
                <w:sz w:val="24"/>
              </w:rPr>
              <w:tab/>
            </w:r>
            <w:r w:rsidRPr="003A0E8C">
              <w:rPr>
                <w:rFonts w:ascii="宋体" w:hAnsi="宋体" w:cs="宋体"/>
                <w:sz w:val="24"/>
              </w:rPr>
              <w:tab/>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Pr>
          <w:p w:rsidR="00D15656" w:rsidRDefault="003A0E8C" w:rsidP="00D15656">
            <w:pPr>
              <w:widowControl/>
              <w:spacing w:line="320" w:lineRule="exact"/>
              <w:jc w:val="left"/>
              <w:textAlignment w:val="top"/>
              <w:rPr>
                <w:rFonts w:ascii="宋体" w:hAnsi="宋体" w:cs="宋体"/>
                <w:sz w:val="24"/>
              </w:rPr>
            </w:pPr>
            <w:r>
              <w:rPr>
                <w:rFonts w:ascii="宋体" w:hAnsi="宋体" w:cs="宋体" w:hint="eastAsia"/>
                <w:sz w:val="24"/>
              </w:rPr>
              <w:t>完成学校教师招聘工作</w:t>
            </w:r>
          </w:p>
        </w:tc>
      </w:tr>
      <w:tr w:rsidR="00D15656" w:rsidTr="00D15656">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D15656" w:rsidTr="00D15656">
        <w:trPr>
          <w:trHeight w:val="415"/>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D15656" w:rsidP="00D15656">
            <w:pPr>
              <w:spacing w:after="240"/>
              <w:jc w:val="center"/>
              <w:rPr>
                <w:rFonts w:ascii="Arial" w:hAnsi="Arial" w:cs="Arial"/>
                <w:sz w:val="24"/>
              </w:rPr>
            </w:pPr>
            <w:r>
              <w:rPr>
                <w:rFonts w:ascii="Arial" w:hAnsi="Arial" w:cs="Arial" w:hint="eastAsia"/>
              </w:rPr>
              <w:t>服务学校师生</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3A0E8C"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外聘教师40人</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3A0E8C"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外聘教师40人</w:t>
            </w:r>
          </w:p>
        </w:tc>
      </w:tr>
      <w:tr w:rsidR="00D15656" w:rsidRPr="008E52F9" w:rsidTr="00D15656">
        <w:trPr>
          <w:trHeight w:val="415"/>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spacing w:after="240"/>
              <w:jc w:val="center"/>
              <w:rPr>
                <w:rFonts w:ascii="Arial" w:hAnsi="Arial" w:cs="Arial"/>
                <w:sz w:val="24"/>
              </w:rPr>
            </w:pPr>
            <w:r w:rsidRPr="003A0E8C">
              <w:rPr>
                <w:rFonts w:ascii="Arial" w:hAnsi="Arial" w:cs="Arial" w:hint="eastAsia"/>
              </w:rPr>
              <w:t>教育教学考核合格及以上</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jc w:val="center"/>
              <w:rPr>
                <w:rFonts w:ascii="Arial" w:hAnsi="Arial" w:cs="Arial"/>
                <w:sz w:val="24"/>
              </w:rPr>
            </w:pPr>
            <w:r>
              <w:rPr>
                <w:rFonts w:ascii="Arial" w:hAnsi="Arial" w:cs="Arial" w:hint="eastAsia"/>
              </w:rPr>
              <w:t>合格</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合格</w:t>
            </w:r>
          </w:p>
        </w:tc>
      </w:tr>
      <w:tr w:rsidR="00D15656" w:rsidTr="00D15656">
        <w:trPr>
          <w:trHeight w:val="415"/>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D15656" w:rsidP="00D15656">
            <w:pPr>
              <w:spacing w:after="240"/>
              <w:jc w:val="center"/>
              <w:rPr>
                <w:rFonts w:ascii="Arial" w:hAnsi="Arial" w:cs="Arial"/>
                <w:sz w:val="24"/>
              </w:rPr>
            </w:pPr>
            <w:r>
              <w:rPr>
                <w:rFonts w:ascii="Arial" w:hAnsi="Arial" w:cs="Arial" w:hint="eastAsia"/>
              </w:rPr>
              <w:t>使用时间</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3A0E8C" w:rsidP="00D15656">
            <w:pPr>
              <w:widowControl/>
              <w:spacing w:line="320" w:lineRule="exact"/>
              <w:jc w:val="center"/>
              <w:textAlignment w:val="bottom"/>
              <w:rPr>
                <w:rFonts w:ascii="仿宋_GB2312" w:eastAsia="仿宋_GB2312" w:hAnsi="仿宋_GB2312" w:cs="仿宋_GB2312"/>
                <w:sz w:val="28"/>
                <w:szCs w:val="28"/>
              </w:rPr>
            </w:pPr>
            <w:r w:rsidRPr="003A0E8C">
              <w:rPr>
                <w:rFonts w:ascii="仿宋_GB2312" w:eastAsia="仿宋_GB2312" w:hAnsi="仿宋_GB2312" w:cs="仿宋_GB2312" w:hint="eastAsia"/>
                <w:sz w:val="28"/>
                <w:szCs w:val="28"/>
              </w:rPr>
              <w:t>2021年3月31日前</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3A0E8C"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w:t>
            </w:r>
          </w:p>
        </w:tc>
      </w:tr>
      <w:tr w:rsidR="00D15656" w:rsidTr="00D15656">
        <w:trPr>
          <w:trHeight w:val="480"/>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3A0E8C"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w:t>
            </w:r>
            <w:r w:rsidR="00D15656">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spacing w:after="240"/>
              <w:jc w:val="center"/>
              <w:rPr>
                <w:rFonts w:ascii="Arial" w:hAnsi="Arial" w:cs="Arial"/>
                <w:sz w:val="24"/>
              </w:rPr>
            </w:pPr>
            <w:r w:rsidRPr="003A0E8C">
              <w:rPr>
                <w:rFonts w:ascii="Arial" w:hAnsi="Arial" w:cs="Arial" w:hint="eastAsia"/>
              </w:rPr>
              <w:t>外聘教师和专家劳务费</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好</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完成目标</w:t>
            </w:r>
          </w:p>
        </w:tc>
      </w:tr>
      <w:tr w:rsidR="00D15656" w:rsidTr="00D15656">
        <w:trPr>
          <w:trHeight w:val="480"/>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r>
      <w:tr w:rsidR="00D15656" w:rsidTr="00D15656">
        <w:trPr>
          <w:trHeight w:val="480"/>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r>
      <w:tr w:rsidR="00D15656" w:rsidTr="00D15656">
        <w:trPr>
          <w:trHeight w:val="577"/>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
        </w:tc>
      </w:tr>
      <w:tr w:rsidR="00D15656" w:rsidTr="00D15656">
        <w:trPr>
          <w:trHeight w:val="480"/>
        </w:trPr>
        <w:tc>
          <w:tcPr>
            <w:tcW w:w="2025" w:type="dxa"/>
            <w:vMerge/>
            <w:tcBorders>
              <w:left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spacing w:after="240"/>
              <w:jc w:val="center"/>
              <w:rPr>
                <w:rFonts w:ascii="Arial" w:hAnsi="Arial" w:cs="Arial"/>
                <w:sz w:val="24"/>
              </w:rPr>
            </w:pPr>
            <w:r w:rsidRPr="003A0E8C">
              <w:rPr>
                <w:rFonts w:ascii="Arial" w:hAnsi="Arial" w:cs="Arial" w:hint="eastAsia"/>
              </w:rPr>
              <w:t>确保学校正常教育教学需要，专业建设服务宜宾“</w:t>
            </w:r>
            <w:r w:rsidRPr="003A0E8C">
              <w:rPr>
                <w:rFonts w:ascii="Arial" w:hAnsi="Arial" w:cs="Arial" w:hint="eastAsia"/>
              </w:rPr>
              <w:t>8+2</w:t>
            </w:r>
            <w:r w:rsidRPr="003A0E8C">
              <w:rPr>
                <w:rFonts w:ascii="Arial" w:hAnsi="Arial" w:cs="Arial" w:hint="eastAsia"/>
              </w:rPr>
              <w:t>”产业和宜宾如期建成成渝地区双城经济圈副中心工作更上一个台阶</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好</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完成预定目标</w:t>
            </w:r>
          </w:p>
        </w:tc>
      </w:tr>
      <w:tr w:rsidR="00D15656" w:rsidTr="00D15656">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rsidR="00D15656" w:rsidRDefault="00D15656" w:rsidP="00D15656">
            <w:pPr>
              <w:spacing w:line="320" w:lineRule="exact"/>
              <w:jc w:val="center"/>
              <w:rPr>
                <w:rFonts w:ascii="仿宋_GB2312" w:eastAsia="仿宋_GB2312" w:hAnsi="仿宋_GB2312" w:cs="仿宋_GB2312"/>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Pr="008E52F9" w:rsidRDefault="003A0E8C" w:rsidP="00D15656">
            <w:pPr>
              <w:spacing w:after="240"/>
              <w:jc w:val="center"/>
              <w:rPr>
                <w:rFonts w:ascii="Arial" w:hAnsi="Arial" w:cs="Arial"/>
                <w:sz w:val="24"/>
              </w:rPr>
            </w:pPr>
            <w:r w:rsidRPr="003A0E8C">
              <w:rPr>
                <w:rFonts w:ascii="Arial" w:hAnsi="Arial" w:cs="Arial" w:hint="eastAsia"/>
              </w:rPr>
              <w:t>学生、家长、企业满意度</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w:t>
            </w:r>
            <w:r w:rsidR="003A0E8C">
              <w:rPr>
                <w:rFonts w:ascii="仿宋_GB2312" w:eastAsia="仿宋_GB2312" w:hAnsi="仿宋_GB2312" w:cs="仿宋_GB2312" w:hint="eastAsia"/>
                <w:sz w:val="28"/>
                <w:szCs w:val="28"/>
              </w:rPr>
              <w:t>以上</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656" w:rsidRDefault="00D15656" w:rsidP="00D15656">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w:t>
            </w:r>
          </w:p>
        </w:tc>
      </w:tr>
    </w:tbl>
    <w:p w:rsidR="00CB0B23" w:rsidRPr="00D15656" w:rsidRDefault="00CB0B23" w:rsidP="00F45A1C">
      <w:pPr>
        <w:pStyle w:val="a0"/>
        <w:spacing w:before="93"/>
      </w:pPr>
    </w:p>
    <w:p w:rsidR="00920FE9" w:rsidRDefault="006D478E" w:rsidP="00920FE9">
      <w:pPr>
        <w:pStyle w:val="a0"/>
        <w:spacing w:before="93"/>
        <w:ind w:firstLineChars="300" w:firstLine="964"/>
        <w:jc w:val="center"/>
      </w:pPr>
      <w:r w:rsidRPr="006D478E">
        <w:rPr>
          <w:rFonts w:ascii="宋体" w:hAnsi="宋体" w:cs="宋体" w:hint="eastAsia"/>
          <w:b/>
          <w:sz w:val="32"/>
          <w:szCs w:val="32"/>
        </w:rPr>
        <w:t>2021</w:t>
      </w:r>
      <w:r w:rsidRPr="006D478E">
        <w:rPr>
          <w:rFonts w:ascii="宋体" w:hAnsi="宋体" w:cs="宋体" w:hint="eastAsia"/>
          <w:b/>
          <w:sz w:val="32"/>
          <w:szCs w:val="32"/>
        </w:rPr>
        <w:t>年</w:t>
      </w:r>
      <w:r w:rsidR="003A0E8C">
        <w:rPr>
          <w:rFonts w:ascii="宋体" w:hAnsi="宋体" w:cs="宋体" w:hint="eastAsia"/>
          <w:b/>
          <w:sz w:val="32"/>
          <w:szCs w:val="32"/>
        </w:rPr>
        <w:t>物业管理费</w:t>
      </w:r>
      <w:r w:rsidR="00920FE9">
        <w:rPr>
          <w:rFonts w:ascii="宋体" w:hAnsi="宋体" w:cs="宋体" w:hint="eastAsia"/>
          <w:b/>
          <w:sz w:val="32"/>
          <w:szCs w:val="32"/>
        </w:rPr>
        <w:t>预算项目绩效目标自评</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2023"/>
        <w:gridCol w:w="1170"/>
        <w:gridCol w:w="1674"/>
        <w:gridCol w:w="1218"/>
        <w:gridCol w:w="1254"/>
        <w:gridCol w:w="2472"/>
      </w:tblGrid>
      <w:tr w:rsidR="003A0E8C" w:rsidTr="003C41F3">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textAlignment w:val="center"/>
              <w:rPr>
                <w:rFonts w:ascii="宋体" w:hAnsi="宋体" w:cs="宋体"/>
                <w:sz w:val="24"/>
              </w:rPr>
            </w:pPr>
            <w:r w:rsidRPr="007A06AD">
              <w:rPr>
                <w:rFonts w:ascii="宋体" w:hAnsi="宋体" w:cs="宋体" w:hint="eastAsia"/>
                <w:sz w:val="24"/>
              </w:rPr>
              <w:t>宜宾市教育和体育局1</w:t>
            </w:r>
            <w:r w:rsidRPr="007A06AD">
              <w:rPr>
                <w:rFonts w:ascii="宋体" w:hAnsi="宋体" w:cs="宋体"/>
                <w:sz w:val="24"/>
              </w:rPr>
              <w:t>35001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sz w:val="24"/>
              </w:rPr>
              <w:t>四川省宜宾市职业技术学校</w:t>
            </w:r>
          </w:p>
        </w:tc>
      </w:tr>
      <w:tr w:rsidR="003A0E8C" w:rsidTr="003C41F3">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sz w:val="24"/>
              </w:rPr>
              <w:t>170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right"/>
              <w:textAlignment w:val="center"/>
              <w:rPr>
                <w:rFonts w:ascii="宋体" w:hAnsi="宋体" w:cs="宋体"/>
                <w:sz w:val="24"/>
              </w:rPr>
            </w:pPr>
            <w:r>
              <w:rPr>
                <w:rFonts w:ascii="宋体" w:hAnsi="宋体" w:cs="宋体" w:hint="eastAsia"/>
                <w:sz w:val="24"/>
              </w:rPr>
              <w:t>170</w:t>
            </w:r>
          </w:p>
        </w:tc>
      </w:tr>
      <w:tr w:rsidR="003A0E8C" w:rsidTr="003C41F3">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sz w:val="24"/>
              </w:rPr>
              <w:t>50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ind w:firstLineChars="800" w:firstLine="1920"/>
              <w:textAlignment w:val="center"/>
              <w:rPr>
                <w:rFonts w:ascii="宋体" w:hAnsi="宋体" w:cs="宋体"/>
                <w:sz w:val="24"/>
              </w:rPr>
            </w:pPr>
            <w:r>
              <w:rPr>
                <w:rFonts w:ascii="宋体" w:hAnsi="宋体" w:cs="宋体" w:hint="eastAsia"/>
                <w:sz w:val="24"/>
              </w:rPr>
              <w:t>50</w:t>
            </w:r>
          </w:p>
        </w:tc>
      </w:tr>
      <w:tr w:rsidR="003A0E8C" w:rsidTr="003C41F3">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sz w:val="24"/>
              </w:rPr>
              <w:t>120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sz w:val="24"/>
              </w:rPr>
              <w:t>120</w:t>
            </w:r>
          </w:p>
        </w:tc>
      </w:tr>
      <w:tr w:rsidR="003A0E8C" w:rsidTr="003C41F3">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A0E8C" w:rsidTr="003C41F3">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宋体" w:hAnsi="宋体" w:cs="宋体"/>
                <w:sz w:val="24"/>
              </w:rPr>
            </w:p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rsidR="003A0E8C" w:rsidRDefault="003A0E8C" w:rsidP="003C41F3">
            <w:pPr>
              <w:widowControl/>
              <w:spacing w:line="320" w:lineRule="exact"/>
              <w:jc w:val="left"/>
              <w:textAlignment w:val="top"/>
              <w:rPr>
                <w:rFonts w:ascii="宋体" w:hAnsi="宋体" w:cs="宋体"/>
                <w:sz w:val="24"/>
              </w:rPr>
            </w:pPr>
            <w:r w:rsidRPr="003A0E8C">
              <w:rPr>
                <w:rFonts w:ascii="宋体" w:hAnsi="宋体" w:cs="宋体" w:hint="eastAsia"/>
                <w:sz w:val="24"/>
              </w:rPr>
              <w:t>在学校党委的正确领导下，紧紧围绕就业教育、升学教育和社会培训三项根本任务，为了“川内领先、西南一流、全国知名的现代职业学校”工作目标。完成学校大湾校区、龙湾校区、真武山校区财产、门卫及车辆管理、</w:t>
            </w:r>
            <w:r w:rsidRPr="003A0E8C">
              <w:rPr>
                <w:rFonts w:ascii="宋体" w:hAnsi="宋体" w:cs="宋体" w:hint="eastAsia"/>
                <w:sz w:val="24"/>
              </w:rPr>
              <w:lastRenderedPageBreak/>
              <w:t>住校生在校期间安保、办公楼清洁保洁以及日常维护、校园绿化维护、学校各项活动的</w:t>
            </w:r>
            <w:proofErr w:type="gramStart"/>
            <w:r w:rsidRPr="003A0E8C">
              <w:rPr>
                <w:rFonts w:ascii="宋体" w:hAnsi="宋体" w:cs="宋体" w:hint="eastAsia"/>
                <w:sz w:val="24"/>
              </w:rPr>
              <w:t>安全维稳</w:t>
            </w:r>
            <w:proofErr w:type="gramEnd"/>
            <w:r w:rsidRPr="003A0E8C">
              <w:rPr>
                <w:rFonts w:ascii="宋体" w:hAnsi="宋体" w:cs="宋体" w:hint="eastAsia"/>
                <w:sz w:val="24"/>
              </w:rPr>
              <w:t>、相关部门考试培训等工作。</w:t>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Pr>
          <w:p w:rsidR="003A0E8C" w:rsidRDefault="003A0E8C" w:rsidP="003C41F3">
            <w:pPr>
              <w:widowControl/>
              <w:spacing w:line="320" w:lineRule="exact"/>
              <w:jc w:val="left"/>
              <w:textAlignment w:val="top"/>
              <w:rPr>
                <w:rFonts w:ascii="宋体" w:hAnsi="宋体" w:cs="宋体"/>
                <w:sz w:val="24"/>
              </w:rPr>
            </w:pPr>
            <w:r>
              <w:rPr>
                <w:rFonts w:ascii="宋体" w:hAnsi="宋体" w:cs="宋体" w:hint="eastAsia"/>
                <w:sz w:val="24"/>
              </w:rPr>
              <w:lastRenderedPageBreak/>
              <w:t>完成目标情况</w:t>
            </w:r>
          </w:p>
        </w:tc>
      </w:tr>
      <w:tr w:rsidR="003A0E8C" w:rsidTr="003A0E8C">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lastRenderedPageBreak/>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3A0E8C" w:rsidTr="003A0E8C">
        <w:trPr>
          <w:trHeight w:val="415"/>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校区物业管理面积</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268.91亩</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268.91亩</w:t>
            </w:r>
          </w:p>
        </w:tc>
      </w:tr>
      <w:tr w:rsidR="003A0E8C" w:rsidRPr="008E52F9" w:rsidTr="003A0E8C">
        <w:trPr>
          <w:trHeight w:val="415"/>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物业管理师生满意度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jc w:val="center"/>
              <w:rPr>
                <w:rFonts w:ascii="Arial" w:hAnsi="Arial" w:cs="Arial"/>
                <w:sz w:val="24"/>
              </w:rPr>
            </w:pPr>
            <w:r>
              <w:rPr>
                <w:rFonts w:ascii="Arial" w:hAnsi="Arial" w:cs="Arial" w:hint="eastAsia"/>
              </w:rPr>
              <w:t>97%</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97%</w:t>
            </w:r>
          </w:p>
        </w:tc>
      </w:tr>
      <w:tr w:rsidR="003A0E8C" w:rsidTr="003A0E8C">
        <w:trPr>
          <w:trHeight w:val="415"/>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圆满完成物业管理工作日期</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3A0E8C" w:rsidRDefault="003A0E8C" w:rsidP="003A0E8C">
            <w:pPr>
              <w:widowControl/>
              <w:spacing w:line="320" w:lineRule="exact"/>
              <w:jc w:val="center"/>
              <w:textAlignment w:val="bottom"/>
              <w:rPr>
                <w:rFonts w:ascii="仿宋_GB2312" w:eastAsia="仿宋_GB2312" w:hAnsi="仿宋_GB2312" w:cs="仿宋_GB2312"/>
                <w:sz w:val="28"/>
                <w:szCs w:val="28"/>
              </w:rPr>
            </w:pPr>
            <w:r w:rsidRPr="003A0E8C">
              <w:rPr>
                <w:rFonts w:ascii="仿宋_GB2312" w:eastAsia="仿宋_GB2312" w:hAnsi="仿宋_GB2312" w:cs="仿宋_GB2312" w:hint="eastAsia"/>
                <w:sz w:val="28"/>
                <w:szCs w:val="28"/>
              </w:rPr>
              <w:t>2020年7月</w:t>
            </w:r>
            <w:proofErr w:type="gramStart"/>
            <w:r w:rsidRPr="003A0E8C">
              <w:rPr>
                <w:rFonts w:ascii="仿宋_GB2312" w:eastAsia="仿宋_GB2312" w:hAnsi="仿宋_GB2312" w:cs="仿宋_GB2312" w:hint="eastAsia"/>
                <w:sz w:val="28"/>
                <w:szCs w:val="28"/>
              </w:rPr>
              <w:t>31</w:t>
            </w:r>
            <w:proofErr w:type="gramEnd"/>
            <w:r w:rsidRPr="003A0E8C">
              <w:rPr>
                <w:rFonts w:ascii="仿宋_GB2312" w:eastAsia="仿宋_GB2312" w:hAnsi="仿宋_GB2312" w:cs="仿宋_GB2312" w:hint="eastAsia"/>
                <w:sz w:val="28"/>
                <w:szCs w:val="28"/>
              </w:rPr>
              <w:t>月（物管协议签订到期时间）</w:t>
            </w:r>
            <w:r w:rsidRPr="003A0E8C">
              <w:rPr>
                <w:rFonts w:ascii="仿宋_GB2312" w:eastAsia="仿宋_GB2312" w:hAnsi="仿宋_GB2312" w:cs="仿宋_GB2312" w:hint="eastAsia"/>
                <w:sz w:val="28"/>
                <w:szCs w:val="28"/>
              </w:rPr>
              <w:tab/>
            </w:r>
            <w:r w:rsidRPr="003A0E8C">
              <w:rPr>
                <w:rFonts w:ascii="仿宋_GB2312" w:eastAsia="仿宋_GB2312" w:hAnsi="仿宋_GB2312" w:cs="仿宋_GB2312" w:hint="eastAsia"/>
                <w:sz w:val="28"/>
                <w:szCs w:val="28"/>
              </w:rPr>
              <w:tab/>
            </w:r>
          </w:p>
          <w:p w:rsidR="003A0E8C" w:rsidRDefault="003A0E8C" w:rsidP="003A0E8C">
            <w:pPr>
              <w:widowControl/>
              <w:spacing w:line="320" w:lineRule="exact"/>
              <w:jc w:val="center"/>
              <w:textAlignment w:val="bottom"/>
              <w:rPr>
                <w:rFonts w:ascii="仿宋_GB2312" w:eastAsia="仿宋_GB2312" w:hAnsi="仿宋_GB2312" w:cs="仿宋_GB2312"/>
                <w:sz w:val="28"/>
                <w:szCs w:val="28"/>
              </w:rPr>
            </w:pPr>
            <w:r w:rsidRPr="003A0E8C">
              <w:rPr>
                <w:rFonts w:ascii="仿宋_GB2312" w:eastAsia="仿宋_GB2312" w:hAnsi="仿宋_GB2312" w:cs="仿宋_GB2312" w:hint="eastAsia"/>
                <w:sz w:val="28"/>
                <w:szCs w:val="28"/>
              </w:rPr>
              <w:t>2019年7月</w:t>
            </w:r>
            <w:proofErr w:type="gramStart"/>
            <w:r w:rsidRPr="003A0E8C">
              <w:rPr>
                <w:rFonts w:ascii="仿宋_GB2312" w:eastAsia="仿宋_GB2312" w:hAnsi="仿宋_GB2312" w:cs="仿宋_GB2312" w:hint="eastAsia"/>
                <w:sz w:val="28"/>
                <w:szCs w:val="28"/>
              </w:rPr>
              <w:t>31</w:t>
            </w:r>
            <w:proofErr w:type="gramEnd"/>
            <w:r w:rsidRPr="003A0E8C">
              <w:rPr>
                <w:rFonts w:ascii="仿宋_GB2312" w:eastAsia="仿宋_GB2312" w:hAnsi="仿宋_GB2312" w:cs="仿宋_GB2312" w:hint="eastAsia"/>
                <w:sz w:val="28"/>
                <w:szCs w:val="28"/>
              </w:rPr>
              <w:t>月（物管协议签订到期时间）</w:t>
            </w:r>
            <w:r w:rsidRPr="003A0E8C">
              <w:rPr>
                <w:rFonts w:ascii="仿宋_GB2312" w:eastAsia="仿宋_GB2312" w:hAnsi="仿宋_GB2312" w:cs="仿宋_GB2312" w:hint="eastAsia"/>
                <w:sz w:val="28"/>
                <w:szCs w:val="28"/>
              </w:rPr>
              <w:tab/>
            </w:r>
            <w:r w:rsidRPr="003A0E8C">
              <w:rPr>
                <w:rFonts w:ascii="仿宋_GB2312" w:eastAsia="仿宋_GB2312" w:hAnsi="仿宋_GB2312" w:cs="仿宋_GB2312" w:hint="eastAsia"/>
                <w:sz w:val="28"/>
                <w:szCs w:val="28"/>
              </w:rPr>
              <w:tab/>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w:t>
            </w:r>
          </w:p>
        </w:tc>
      </w:tr>
      <w:tr w:rsidR="003A0E8C" w:rsidTr="003A0E8C">
        <w:trPr>
          <w:trHeight w:val="480"/>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政府招投标：宜职校物业服务项目</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135.6万元</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135.6万元</w:t>
            </w:r>
          </w:p>
        </w:tc>
      </w:tr>
      <w:tr w:rsidR="003A0E8C" w:rsidTr="003A0E8C">
        <w:trPr>
          <w:trHeight w:val="480"/>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r>
      <w:tr w:rsidR="003A0E8C" w:rsidTr="003A0E8C">
        <w:trPr>
          <w:trHeight w:val="480"/>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r>
      <w:tr w:rsidR="003A0E8C" w:rsidTr="003A0E8C">
        <w:trPr>
          <w:trHeight w:val="577"/>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
        </w:tc>
      </w:tr>
      <w:tr w:rsidR="003A0E8C" w:rsidTr="003A0E8C">
        <w:trPr>
          <w:trHeight w:val="480"/>
        </w:trPr>
        <w:tc>
          <w:tcPr>
            <w:tcW w:w="2025" w:type="dxa"/>
            <w:vMerge/>
            <w:tcBorders>
              <w:left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确保学校正常教育教学需要，专业建设服务宜宾“</w:t>
            </w:r>
            <w:r w:rsidRPr="003A0E8C">
              <w:rPr>
                <w:rFonts w:ascii="Arial" w:hAnsi="Arial" w:cs="Arial" w:hint="eastAsia"/>
              </w:rPr>
              <w:t>8+2</w:t>
            </w:r>
            <w:r w:rsidRPr="003A0E8C">
              <w:rPr>
                <w:rFonts w:ascii="Arial" w:hAnsi="Arial" w:cs="Arial" w:hint="eastAsia"/>
              </w:rPr>
              <w:t>”产</w:t>
            </w:r>
            <w:r w:rsidRPr="003A0E8C">
              <w:rPr>
                <w:rFonts w:ascii="Arial" w:hAnsi="Arial" w:cs="Arial" w:hint="eastAsia"/>
              </w:rPr>
              <w:lastRenderedPageBreak/>
              <w:t>业和宜宾如期建成成渝地区双城经济圈副中心工作更上一个台阶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好</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完成预定目标</w:t>
            </w:r>
          </w:p>
        </w:tc>
      </w:tr>
      <w:tr w:rsidR="003A0E8C" w:rsidTr="003A0E8C">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rsidR="003A0E8C" w:rsidRDefault="003A0E8C" w:rsidP="003C41F3">
            <w:pPr>
              <w:spacing w:line="320" w:lineRule="exact"/>
              <w:jc w:val="center"/>
              <w:rPr>
                <w:rFonts w:ascii="仿宋_GB2312" w:eastAsia="仿宋_GB2312" w:hAnsi="仿宋_GB2312" w:cs="仿宋_GB2312"/>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Pr="008E52F9" w:rsidRDefault="003A0E8C" w:rsidP="003C41F3">
            <w:pPr>
              <w:spacing w:after="240"/>
              <w:jc w:val="center"/>
              <w:rPr>
                <w:rFonts w:ascii="Arial" w:hAnsi="Arial" w:cs="Arial"/>
                <w:sz w:val="24"/>
              </w:rPr>
            </w:pPr>
            <w:r w:rsidRPr="003A0E8C">
              <w:rPr>
                <w:rFonts w:ascii="Arial" w:hAnsi="Arial" w:cs="Arial" w:hint="eastAsia"/>
              </w:rPr>
              <w:t>学生、家长、企业满意度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95%以上</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A0E8C" w:rsidRDefault="003A0E8C"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w:t>
            </w:r>
          </w:p>
        </w:tc>
      </w:tr>
    </w:tbl>
    <w:p w:rsidR="004D701C" w:rsidRDefault="004D701C" w:rsidP="004D701C">
      <w:pPr>
        <w:pStyle w:val="a0"/>
        <w:spacing w:before="93"/>
      </w:pPr>
    </w:p>
    <w:p w:rsidR="004D701C" w:rsidRDefault="004D701C" w:rsidP="004D701C">
      <w:pPr>
        <w:pStyle w:val="a0"/>
        <w:spacing w:before="93"/>
        <w:ind w:firstLineChars="300" w:firstLine="964"/>
        <w:jc w:val="center"/>
      </w:pPr>
      <w:r w:rsidRPr="006D478E">
        <w:rPr>
          <w:rFonts w:ascii="宋体" w:hAnsi="宋体" w:cs="宋体" w:hint="eastAsia"/>
          <w:b/>
          <w:sz w:val="32"/>
          <w:szCs w:val="32"/>
        </w:rPr>
        <w:t>2021</w:t>
      </w:r>
      <w:r w:rsidRPr="006D478E">
        <w:rPr>
          <w:rFonts w:ascii="宋体" w:hAnsi="宋体" w:cs="宋体" w:hint="eastAsia"/>
          <w:b/>
          <w:sz w:val="32"/>
          <w:szCs w:val="32"/>
        </w:rPr>
        <w:t>年</w:t>
      </w:r>
      <w:r w:rsidR="003241BB">
        <w:rPr>
          <w:rFonts w:ascii="宋体" w:hAnsi="宋体" w:cs="宋体" w:hint="eastAsia"/>
          <w:b/>
          <w:sz w:val="32"/>
          <w:szCs w:val="32"/>
        </w:rPr>
        <w:t>校园安全</w:t>
      </w:r>
      <w:r>
        <w:rPr>
          <w:rFonts w:ascii="宋体" w:hAnsi="宋体" w:cs="宋体" w:hint="eastAsia"/>
          <w:b/>
          <w:sz w:val="32"/>
          <w:szCs w:val="32"/>
        </w:rPr>
        <w:t>项目绩效目标自评</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2023"/>
        <w:gridCol w:w="1170"/>
        <w:gridCol w:w="1674"/>
        <w:gridCol w:w="1218"/>
        <w:gridCol w:w="1254"/>
        <w:gridCol w:w="2472"/>
      </w:tblGrid>
      <w:tr w:rsidR="003241BB" w:rsidTr="003C41F3">
        <w:trPr>
          <w:trHeight w:val="254"/>
        </w:trPr>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textAlignment w:val="center"/>
              <w:rPr>
                <w:rFonts w:ascii="宋体" w:hAnsi="宋体" w:cs="宋体"/>
                <w:sz w:val="24"/>
              </w:rPr>
            </w:pPr>
            <w:r w:rsidRPr="007A06AD">
              <w:rPr>
                <w:rFonts w:ascii="宋体" w:hAnsi="宋体" w:cs="宋体" w:hint="eastAsia"/>
                <w:sz w:val="24"/>
              </w:rPr>
              <w:t>宜宾市教育和体育局1</w:t>
            </w:r>
            <w:r w:rsidRPr="007A06AD">
              <w:rPr>
                <w:rFonts w:ascii="宋体" w:hAnsi="宋体" w:cs="宋体"/>
                <w:sz w:val="24"/>
              </w:rPr>
              <w:t>35001</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四川省宜宾市职业技术学校</w:t>
            </w:r>
          </w:p>
        </w:tc>
      </w:tr>
      <w:tr w:rsidR="003241BB" w:rsidTr="003C41F3">
        <w:trPr>
          <w:trHeight w:val="341"/>
        </w:trPr>
        <w:tc>
          <w:tcPr>
            <w:tcW w:w="31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30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right"/>
              <w:textAlignment w:val="center"/>
              <w:rPr>
                <w:rFonts w:ascii="宋体" w:hAnsi="宋体" w:cs="宋体"/>
                <w:sz w:val="24"/>
              </w:rPr>
            </w:pPr>
            <w:r>
              <w:rPr>
                <w:rFonts w:ascii="宋体" w:hAnsi="宋体" w:cs="宋体" w:hint="eastAsia"/>
                <w:sz w:val="24"/>
              </w:rPr>
              <w:t>30</w:t>
            </w:r>
          </w:p>
        </w:tc>
      </w:tr>
      <w:tr w:rsidR="003241BB" w:rsidTr="003C41F3">
        <w:trPr>
          <w:trHeight w:val="555"/>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30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ind w:firstLineChars="800" w:firstLine="1920"/>
              <w:textAlignment w:val="center"/>
              <w:rPr>
                <w:rFonts w:ascii="宋体" w:hAnsi="宋体" w:cs="宋体"/>
                <w:sz w:val="24"/>
              </w:rPr>
            </w:pPr>
            <w:r>
              <w:rPr>
                <w:rFonts w:ascii="宋体" w:hAnsi="宋体" w:cs="宋体" w:hint="eastAsia"/>
                <w:sz w:val="24"/>
              </w:rPr>
              <w:t>30</w:t>
            </w:r>
          </w:p>
        </w:tc>
      </w:tr>
      <w:tr w:rsidR="003241BB" w:rsidTr="003C41F3">
        <w:trPr>
          <w:trHeight w:val="341"/>
        </w:trPr>
        <w:tc>
          <w:tcPr>
            <w:tcW w:w="31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0</w:t>
            </w:r>
          </w:p>
        </w:tc>
      </w:tr>
      <w:tr w:rsidR="003241BB" w:rsidTr="003C41F3">
        <w:trPr>
          <w:trHeight w:val="217"/>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241BB" w:rsidTr="003C41F3">
        <w:trPr>
          <w:trHeight w:val="797"/>
        </w:trPr>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sidRPr="003241BB">
              <w:rPr>
                <w:rFonts w:ascii="宋体" w:hAnsi="宋体" w:cs="宋体" w:hint="eastAsia"/>
                <w:sz w:val="24"/>
              </w:rPr>
              <w:t>为了进一步加强学校安全工作，杜绝安全责任事故，确保学校正常的教育教学秩序和学校各项安全工作措施贯彻落实，为学校师生安全工作提供必要的经费保障。</w:t>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r w:rsidRPr="003A0E8C">
              <w:rPr>
                <w:rFonts w:ascii="宋体" w:hAnsi="宋体" w:cs="宋体" w:hint="eastAsia"/>
                <w:sz w:val="24"/>
              </w:rPr>
              <w:tab/>
            </w:r>
          </w:p>
        </w:tc>
        <w:tc>
          <w:tcPr>
            <w:tcW w:w="3723" w:type="dxa"/>
            <w:gridSpan w:val="2"/>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Pr>
                <w:rFonts w:ascii="宋体" w:hAnsi="宋体" w:cs="宋体" w:hint="eastAsia"/>
                <w:sz w:val="24"/>
              </w:rPr>
              <w:t>完成目标情况</w:t>
            </w:r>
          </w:p>
        </w:tc>
      </w:tr>
      <w:tr w:rsidR="003241BB" w:rsidTr="003C41F3">
        <w:trPr>
          <w:trHeight w:val="693"/>
        </w:trPr>
        <w:tc>
          <w:tcPr>
            <w:tcW w:w="2025" w:type="dxa"/>
            <w:vMerge w:val="restart"/>
            <w:tcBorders>
              <w:top w:val="single" w:sz="4" w:space="0" w:color="000000"/>
              <w:left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3241BB" w:rsidTr="003C41F3">
        <w:trPr>
          <w:trHeight w:val="415"/>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保障学校师生安全</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241BB">
            <w:pPr>
              <w:jc w:val="center"/>
              <w:rPr>
                <w:rFonts w:ascii="Arial" w:hAnsi="Arial" w:cs="Arial"/>
                <w:sz w:val="24"/>
              </w:rPr>
            </w:pPr>
            <w:r>
              <w:rPr>
                <w:rFonts w:ascii="Arial" w:hAnsi="Arial" w:cs="Arial"/>
              </w:rPr>
              <w:t>500</w:t>
            </w:r>
            <w:r>
              <w:rPr>
                <w:rFonts w:cs="Arial" w:hint="eastAsia"/>
              </w:rPr>
              <w:t>名教职工，</w:t>
            </w:r>
            <w:r>
              <w:rPr>
                <w:rFonts w:ascii="Arial" w:hAnsi="Arial" w:cs="Arial"/>
              </w:rPr>
              <w:t>9000</w:t>
            </w:r>
            <w:r>
              <w:rPr>
                <w:rFonts w:cs="Arial" w:hint="eastAsia"/>
              </w:rPr>
              <w:t>名学生</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241BB">
            <w:pPr>
              <w:jc w:val="center"/>
              <w:rPr>
                <w:rFonts w:ascii="Arial" w:hAnsi="Arial" w:cs="Arial"/>
                <w:sz w:val="24"/>
              </w:rPr>
            </w:pPr>
            <w:r>
              <w:rPr>
                <w:rFonts w:ascii="Arial" w:hAnsi="Arial" w:cs="Arial"/>
              </w:rPr>
              <w:t>500</w:t>
            </w:r>
            <w:r>
              <w:rPr>
                <w:rFonts w:cs="Arial" w:hint="eastAsia"/>
              </w:rPr>
              <w:t>名教职工，</w:t>
            </w:r>
            <w:r>
              <w:rPr>
                <w:rFonts w:ascii="Arial" w:hAnsi="Arial" w:cs="Arial"/>
              </w:rPr>
              <w:t>9000</w:t>
            </w:r>
            <w:r>
              <w:rPr>
                <w:rFonts w:cs="Arial" w:hint="eastAsia"/>
              </w:rPr>
              <w:t>名学生</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RPr="008E52F9" w:rsidTr="003C41F3">
        <w:trPr>
          <w:trHeight w:val="415"/>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无安全事故</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jc w:val="center"/>
              <w:rPr>
                <w:rFonts w:ascii="Arial" w:hAnsi="Arial" w:cs="Arial"/>
                <w:sz w:val="24"/>
              </w:rPr>
            </w:pPr>
            <w:r>
              <w:rPr>
                <w:rFonts w:ascii="Arial" w:hAnsi="Arial" w:cs="Arial" w:hint="eastAsia"/>
              </w:rPr>
              <w:t>0</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3241BB" w:rsidTr="003C41F3">
        <w:trPr>
          <w:trHeight w:val="415"/>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经费使用时间</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2021年</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2021年</w:t>
            </w:r>
          </w:p>
        </w:tc>
      </w:tr>
      <w:tr w:rsidR="003241BB" w:rsidTr="003C41F3">
        <w:trPr>
          <w:trHeight w:val="480"/>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办公费、专</w:t>
            </w:r>
            <w:r w:rsidRPr="003241BB">
              <w:rPr>
                <w:rFonts w:ascii="Arial" w:hAnsi="Arial" w:cs="Arial" w:hint="eastAsia"/>
              </w:rPr>
              <w:lastRenderedPageBreak/>
              <w:t>用材料费、维修费</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sidRPr="003241BB">
              <w:rPr>
                <w:rFonts w:ascii="仿宋_GB2312" w:eastAsia="仿宋_GB2312" w:hAnsi="仿宋_GB2312" w:cs="仿宋_GB2312" w:hint="eastAsia"/>
                <w:sz w:val="28"/>
                <w:szCs w:val="28"/>
              </w:rPr>
              <w:lastRenderedPageBreak/>
              <w:t>办公费5</w:t>
            </w:r>
            <w:r w:rsidRPr="003241BB">
              <w:rPr>
                <w:rFonts w:ascii="仿宋_GB2312" w:eastAsia="仿宋_GB2312" w:hAnsi="仿宋_GB2312" w:cs="仿宋_GB2312" w:hint="eastAsia"/>
                <w:sz w:val="28"/>
                <w:szCs w:val="28"/>
              </w:rPr>
              <w:lastRenderedPageBreak/>
              <w:t>万元、专用材料费10万元，和维修费15万元</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完成</w:t>
            </w:r>
          </w:p>
        </w:tc>
      </w:tr>
      <w:tr w:rsidR="003241BB" w:rsidTr="003C41F3">
        <w:trPr>
          <w:trHeight w:val="480"/>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577"/>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2025"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养成安全意识，形成安全机制</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好</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完成预定目标</w:t>
            </w:r>
          </w:p>
        </w:tc>
      </w:tr>
      <w:tr w:rsidR="003241BB" w:rsidTr="003C41F3">
        <w:trPr>
          <w:trHeight w:val="530"/>
        </w:trPr>
        <w:tc>
          <w:tcPr>
            <w:tcW w:w="2025" w:type="dxa"/>
            <w:vMerge/>
            <w:tcBorders>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sidRPr="003241BB">
              <w:rPr>
                <w:rFonts w:ascii="Arial" w:hAnsi="Arial" w:cs="Arial" w:hint="eastAsia"/>
              </w:rPr>
              <w:t>学校、家长、学生满意度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98%以上</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98%</w:t>
            </w:r>
          </w:p>
        </w:tc>
      </w:tr>
    </w:tbl>
    <w:p w:rsidR="00843071" w:rsidRDefault="00843071" w:rsidP="004D701C">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2025"/>
        <w:gridCol w:w="1170"/>
        <w:gridCol w:w="1675"/>
        <w:gridCol w:w="1218"/>
        <w:gridCol w:w="1254"/>
        <w:gridCol w:w="2469"/>
      </w:tblGrid>
      <w:tr w:rsidR="003241BB" w:rsidTr="003C41F3">
        <w:trPr>
          <w:trHeight w:val="675"/>
        </w:trPr>
        <w:tc>
          <w:tcPr>
            <w:tcW w:w="9577" w:type="dxa"/>
            <w:gridSpan w:val="6"/>
            <w:tcBorders>
              <w:top w:val="nil"/>
              <w:left w:val="nil"/>
              <w:bottom w:val="nil"/>
              <w:right w:val="nil"/>
            </w:tcBorders>
            <w:shd w:val="clear" w:color="auto" w:fill="auto"/>
            <w:vAlign w:val="center"/>
          </w:tcPr>
          <w:p w:rsidR="003241BB" w:rsidRDefault="003241BB" w:rsidP="003C41F3">
            <w:pPr>
              <w:widowControl/>
              <w:ind w:firstLineChars="750" w:firstLine="2409"/>
              <w:textAlignment w:val="center"/>
              <w:rPr>
                <w:rFonts w:ascii="宋体" w:hAnsi="宋体" w:cs="宋体"/>
                <w:b/>
                <w:sz w:val="32"/>
                <w:szCs w:val="32"/>
              </w:rPr>
            </w:pPr>
            <w:r>
              <w:rPr>
                <w:rFonts w:ascii="宋体" w:hAnsi="宋体" w:cs="宋体" w:hint="eastAsia"/>
                <w:b/>
                <w:sz w:val="32"/>
                <w:szCs w:val="32"/>
              </w:rPr>
              <w:t>2021年高考质量以奖代补项目绩效目标自评</w:t>
            </w:r>
          </w:p>
        </w:tc>
      </w:tr>
      <w:tr w:rsidR="003241BB" w:rsidTr="003C41F3">
        <w:trPr>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textAlignment w:val="center"/>
              <w:rPr>
                <w:rFonts w:ascii="宋体" w:hAnsi="宋体" w:cs="宋体"/>
                <w:sz w:val="24"/>
              </w:rPr>
            </w:pPr>
            <w:r w:rsidRPr="00920FE9">
              <w:rPr>
                <w:rFonts w:asciiTheme="minorEastAsia" w:eastAsiaTheme="minorEastAsia" w:hAnsiTheme="minorEastAsia" w:cs="宋体" w:hint="eastAsia"/>
                <w:sz w:val="24"/>
              </w:rPr>
              <w:t>宜宾市教育和体育局</w:t>
            </w:r>
            <w:r>
              <w:rPr>
                <w:rFonts w:asciiTheme="minorEastAsia" w:eastAsiaTheme="minorEastAsia" w:hAnsiTheme="minorEastAsia" w:cs="宋体" w:hint="eastAsia"/>
                <w:sz w:val="24"/>
              </w:rPr>
              <w:t>1</w:t>
            </w:r>
            <w:r>
              <w:rPr>
                <w:rFonts w:asciiTheme="minorEastAsia" w:eastAsiaTheme="minorEastAsia" w:hAnsiTheme="minorEastAsia" w:cs="宋体"/>
                <w:sz w:val="24"/>
              </w:rPr>
              <w:t>35001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四川省宜宾市职业技术学校</w:t>
            </w:r>
          </w:p>
        </w:tc>
      </w:tr>
      <w:tr w:rsidR="003241BB" w:rsidTr="003C41F3">
        <w:trPr>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right"/>
              <w:textAlignment w:val="center"/>
              <w:rPr>
                <w:rFonts w:ascii="宋体" w:hAnsi="宋体" w:cs="宋体"/>
                <w:sz w:val="24"/>
              </w:rPr>
            </w:pPr>
            <w:r>
              <w:rPr>
                <w:rFonts w:ascii="宋体" w:hAnsi="宋体" w:cs="宋体" w:hint="eastAsia"/>
                <w:sz w:val="24"/>
              </w:rPr>
              <w:t>100</w:t>
            </w:r>
          </w:p>
        </w:tc>
      </w:tr>
      <w:tr w:rsidR="003241BB" w:rsidTr="003C41F3">
        <w:trPr>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100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ind w:firstLineChars="750" w:firstLine="1800"/>
              <w:textAlignment w:val="center"/>
              <w:rPr>
                <w:rFonts w:ascii="宋体" w:hAnsi="宋体" w:cs="宋体"/>
                <w:sz w:val="24"/>
              </w:rPr>
            </w:pPr>
            <w:r>
              <w:rPr>
                <w:rFonts w:ascii="宋体" w:hAnsi="宋体" w:cs="宋体" w:hint="eastAsia"/>
                <w:sz w:val="24"/>
              </w:rPr>
              <w:t>100</w:t>
            </w:r>
          </w:p>
        </w:tc>
      </w:tr>
      <w:tr w:rsidR="003241BB" w:rsidTr="003C41F3">
        <w:trPr>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0</w:t>
            </w:r>
          </w:p>
        </w:tc>
      </w:tr>
      <w:tr w:rsidR="003241BB" w:rsidTr="003C41F3">
        <w:trPr>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241BB" w:rsidTr="003C41F3">
        <w:trPr>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Pr>
                <w:rFonts w:ascii="宋体" w:hAnsi="宋体" w:cs="宋体" w:hint="eastAsia"/>
                <w:sz w:val="24"/>
              </w:rPr>
              <w:t>用于改善学校办学条件，提高学校整体教学水平</w:t>
            </w:r>
            <w:r w:rsidRPr="008E52F9">
              <w:rPr>
                <w:rFonts w:ascii="宋体" w:hAnsi="宋体" w:cs="宋体" w:hint="eastAsia"/>
                <w:sz w:val="24"/>
              </w:rPr>
              <w:t>。</w:t>
            </w:r>
            <w:r w:rsidRPr="008E52F9">
              <w:rPr>
                <w:rFonts w:ascii="宋体" w:hAnsi="宋体" w:cs="宋体" w:hint="eastAsia"/>
                <w:sz w:val="24"/>
              </w:rPr>
              <w:tab/>
            </w:r>
            <w:r w:rsidRPr="008E52F9">
              <w:rPr>
                <w:rFonts w:ascii="宋体" w:hAnsi="宋体" w:cs="宋体" w:hint="eastAsia"/>
                <w:sz w:val="24"/>
              </w:rPr>
              <w:tab/>
            </w:r>
            <w:r w:rsidRPr="008E52F9">
              <w:rPr>
                <w:rFonts w:ascii="宋体" w:hAnsi="宋体" w:cs="宋体" w:hint="eastAsia"/>
                <w:sz w:val="24"/>
              </w:rPr>
              <w:tab/>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Pr>
                <w:rFonts w:ascii="宋体" w:hAnsi="宋体" w:cs="宋体" w:hint="eastAsia"/>
                <w:sz w:val="24"/>
              </w:rPr>
              <w:t>用于改善学校办学条件，提高学校整体教学水平</w:t>
            </w:r>
            <w:r w:rsidRPr="008E52F9">
              <w:rPr>
                <w:rFonts w:ascii="宋体" w:hAnsi="宋体" w:cs="宋体" w:hint="eastAsia"/>
                <w:sz w:val="24"/>
              </w:rPr>
              <w:t>。</w:t>
            </w:r>
            <w:r w:rsidRPr="008E52F9">
              <w:rPr>
                <w:rFonts w:ascii="宋体" w:hAnsi="宋体" w:cs="宋体" w:hint="eastAsia"/>
                <w:sz w:val="24"/>
              </w:rPr>
              <w:tab/>
            </w:r>
          </w:p>
        </w:tc>
      </w:tr>
      <w:tr w:rsidR="003241BB" w:rsidTr="003C41F3">
        <w:trPr>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服务学校师生</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9000</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服务学生质量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jc w:val="center"/>
              <w:rPr>
                <w:rFonts w:ascii="Arial" w:hAnsi="Arial" w:cs="Arial"/>
                <w:sz w:val="24"/>
              </w:rPr>
            </w:pPr>
            <w:r>
              <w:rPr>
                <w:rFonts w:ascii="Arial" w:hAnsi="Arial" w:cs="Arial" w:hint="eastAsia"/>
              </w:rPr>
              <w:t>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已完成目标</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使用时间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12月31日前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12月31日前</w:t>
            </w: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效果指标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保障学校教育运转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完成目标</w:t>
            </w: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577"/>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提升学校教学办学质量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完成预定目标</w:t>
            </w:r>
          </w:p>
        </w:tc>
      </w:tr>
      <w:tr w:rsidR="003241BB" w:rsidTr="003C41F3">
        <w:trPr>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hint="eastAsia"/>
              </w:rPr>
              <w:t>学校师生满意度</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95%</w:t>
            </w:r>
          </w:p>
        </w:tc>
      </w:tr>
    </w:tbl>
    <w:p w:rsidR="002B1903" w:rsidRDefault="002B1903" w:rsidP="004D701C">
      <w:pPr>
        <w:pStyle w:val="a0"/>
        <w:spacing w:before="93"/>
      </w:pP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2025"/>
        <w:gridCol w:w="1170"/>
        <w:gridCol w:w="1675"/>
        <w:gridCol w:w="1218"/>
        <w:gridCol w:w="1254"/>
        <w:gridCol w:w="2469"/>
      </w:tblGrid>
      <w:tr w:rsidR="003241BB" w:rsidTr="003C41F3">
        <w:trPr>
          <w:trHeight w:val="675"/>
        </w:trPr>
        <w:tc>
          <w:tcPr>
            <w:tcW w:w="9577" w:type="dxa"/>
            <w:gridSpan w:val="6"/>
            <w:tcBorders>
              <w:top w:val="nil"/>
              <w:left w:val="nil"/>
              <w:bottom w:val="nil"/>
              <w:right w:val="nil"/>
            </w:tcBorders>
            <w:shd w:val="clear" w:color="auto" w:fill="auto"/>
            <w:vAlign w:val="center"/>
          </w:tcPr>
          <w:p w:rsidR="003241BB" w:rsidRDefault="003241BB" w:rsidP="003C41F3">
            <w:pPr>
              <w:widowControl/>
              <w:ind w:firstLineChars="1000" w:firstLine="3213"/>
              <w:textAlignment w:val="center"/>
              <w:rPr>
                <w:rFonts w:ascii="宋体" w:hAnsi="宋体" w:cs="宋体"/>
                <w:b/>
                <w:sz w:val="32"/>
                <w:szCs w:val="32"/>
              </w:rPr>
            </w:pPr>
            <w:r>
              <w:rPr>
                <w:rFonts w:ascii="宋体" w:hAnsi="宋体" w:cs="宋体" w:hint="eastAsia"/>
                <w:b/>
                <w:sz w:val="32"/>
                <w:szCs w:val="32"/>
              </w:rPr>
              <w:t>2021年债务还本经费自评报告</w:t>
            </w:r>
          </w:p>
        </w:tc>
      </w:tr>
      <w:tr w:rsidR="003241BB" w:rsidTr="003C41F3">
        <w:trPr>
          <w:trHeight w:val="254"/>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textAlignment w:val="center"/>
              <w:rPr>
                <w:rFonts w:ascii="宋体" w:hAnsi="宋体" w:cs="宋体"/>
                <w:sz w:val="24"/>
              </w:rPr>
            </w:pPr>
            <w:r w:rsidRPr="00920FE9">
              <w:rPr>
                <w:rFonts w:asciiTheme="minorEastAsia" w:eastAsiaTheme="minorEastAsia" w:hAnsiTheme="minorEastAsia" w:cs="宋体" w:hint="eastAsia"/>
                <w:sz w:val="24"/>
              </w:rPr>
              <w:t>宜宾市教育和体育局</w:t>
            </w:r>
            <w:r>
              <w:rPr>
                <w:rFonts w:asciiTheme="minorEastAsia" w:eastAsiaTheme="minorEastAsia" w:hAnsiTheme="minorEastAsia" w:cs="宋体" w:hint="eastAsia"/>
                <w:sz w:val="24"/>
              </w:rPr>
              <w:t>1</w:t>
            </w:r>
            <w:r>
              <w:rPr>
                <w:rFonts w:asciiTheme="minorEastAsia" w:eastAsiaTheme="minorEastAsia" w:hAnsiTheme="minorEastAsia" w:cs="宋体"/>
                <w:sz w:val="24"/>
              </w:rPr>
              <w:t>35001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四川省宜宾市职业技术学校</w:t>
            </w:r>
          </w:p>
        </w:tc>
      </w:tr>
      <w:tr w:rsidR="003241BB" w:rsidTr="003C41F3">
        <w:trPr>
          <w:trHeight w:val="341"/>
        </w:trPr>
        <w:tc>
          <w:tcPr>
            <w:tcW w:w="3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1244.03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right"/>
              <w:textAlignment w:val="center"/>
              <w:rPr>
                <w:rFonts w:ascii="宋体" w:hAnsi="宋体" w:cs="宋体"/>
                <w:sz w:val="24"/>
              </w:rPr>
            </w:pPr>
            <w:r>
              <w:rPr>
                <w:rFonts w:ascii="宋体" w:hAnsi="宋体" w:cs="宋体" w:hint="eastAsia"/>
                <w:sz w:val="24"/>
              </w:rPr>
              <w:t>1244.03</w:t>
            </w:r>
          </w:p>
        </w:tc>
      </w:tr>
      <w:tr w:rsidR="003241BB" w:rsidTr="003C41F3">
        <w:trPr>
          <w:trHeight w:val="555"/>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1244.03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textAlignment w:val="center"/>
              <w:rPr>
                <w:rFonts w:ascii="宋体" w:hAnsi="宋体" w:cs="宋体"/>
                <w:sz w:val="24"/>
              </w:rPr>
            </w:pPr>
            <w:r>
              <w:rPr>
                <w:rFonts w:ascii="宋体" w:hAnsi="宋体" w:cs="宋体" w:hint="eastAsia"/>
                <w:sz w:val="24"/>
              </w:rPr>
              <w:t>1244.03</w:t>
            </w:r>
          </w:p>
        </w:tc>
      </w:tr>
      <w:tr w:rsidR="003241BB" w:rsidTr="003C41F3">
        <w:trPr>
          <w:trHeight w:val="341"/>
        </w:trPr>
        <w:tc>
          <w:tcPr>
            <w:tcW w:w="3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sz w:val="24"/>
              </w:rPr>
              <w:t>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sz w:val="24"/>
              </w:rPr>
              <w:t>0</w:t>
            </w:r>
          </w:p>
        </w:tc>
      </w:tr>
      <w:tr w:rsidR="003241BB" w:rsidTr="003C41F3">
        <w:trPr>
          <w:trHeight w:val="217"/>
        </w:trPr>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241BB" w:rsidTr="003C41F3">
        <w:trPr>
          <w:trHeight w:val="797"/>
        </w:trPr>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sidRPr="008E52F9">
              <w:rPr>
                <w:rFonts w:ascii="宋体" w:hAnsi="宋体" w:cs="宋体" w:hint="eastAsia"/>
                <w:sz w:val="24"/>
              </w:rPr>
              <w:t>2021年初，宜职校银行贷款余额为2000万元，按照2020年9月21日市政府召集市财政局、市教育体育局、宜宾农村商业银行、宜职校参加的关于解决宜宾市职业技术学校基建贷款问题的会议精神，2021年-2024年每年尽量筹集500万元归还贷款本金。</w:t>
            </w:r>
            <w:r w:rsidRPr="008E52F9">
              <w:rPr>
                <w:rFonts w:ascii="宋体" w:hAnsi="宋体" w:cs="宋体" w:hint="eastAsia"/>
                <w:sz w:val="24"/>
              </w:rPr>
              <w:tab/>
            </w:r>
            <w:r w:rsidRPr="008E52F9">
              <w:rPr>
                <w:rFonts w:ascii="宋体" w:hAnsi="宋体" w:cs="宋体" w:hint="eastAsia"/>
                <w:sz w:val="24"/>
              </w:rPr>
              <w:tab/>
            </w:r>
            <w:r w:rsidRPr="008E52F9">
              <w:rPr>
                <w:rFonts w:ascii="宋体" w:hAnsi="宋体" w:cs="宋体" w:hint="eastAsia"/>
                <w:sz w:val="24"/>
              </w:rPr>
              <w:tab/>
            </w:r>
          </w:p>
        </w:tc>
        <w:tc>
          <w:tcPr>
            <w:tcW w:w="3634" w:type="dxa"/>
            <w:gridSpan w:val="2"/>
            <w:tcBorders>
              <w:top w:val="single" w:sz="4" w:space="0" w:color="000000"/>
              <w:left w:val="single" w:sz="4" w:space="0" w:color="000000"/>
              <w:bottom w:val="single" w:sz="4" w:space="0" w:color="000000"/>
              <w:right w:val="single" w:sz="4" w:space="0" w:color="000000"/>
            </w:tcBorders>
            <w:shd w:val="clear" w:color="auto" w:fill="auto"/>
          </w:tcPr>
          <w:p w:rsidR="003241BB" w:rsidRDefault="003241BB" w:rsidP="003C41F3">
            <w:pPr>
              <w:widowControl/>
              <w:spacing w:line="320" w:lineRule="exact"/>
              <w:jc w:val="left"/>
              <w:textAlignment w:val="top"/>
              <w:rPr>
                <w:rFonts w:ascii="宋体" w:hAnsi="宋体" w:cs="宋体"/>
                <w:sz w:val="24"/>
              </w:rPr>
            </w:pPr>
            <w:r>
              <w:rPr>
                <w:rFonts w:ascii="宋体" w:hAnsi="宋体" w:cs="宋体" w:hint="eastAsia"/>
                <w:sz w:val="24"/>
              </w:rPr>
              <w:t>归还本金1244.03万元。</w:t>
            </w:r>
          </w:p>
        </w:tc>
      </w:tr>
      <w:tr w:rsidR="003241BB" w:rsidTr="003C41F3">
        <w:trPr>
          <w:trHeight w:val="693"/>
        </w:trPr>
        <w:tc>
          <w:tcPr>
            <w:tcW w:w="1977" w:type="dxa"/>
            <w:vMerge w:val="restart"/>
            <w:tcBorders>
              <w:top w:val="single" w:sz="4" w:space="0" w:color="000000"/>
              <w:left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lastRenderedPageBreak/>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lastRenderedPageBreak/>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还贷金额</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500万元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1244.03万元</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化解政府隐形债务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jc w:val="center"/>
              <w:rPr>
                <w:rFonts w:ascii="Arial" w:hAnsi="Arial" w:cs="Arial"/>
                <w:sz w:val="24"/>
              </w:rPr>
            </w:pPr>
            <w:r>
              <w:rPr>
                <w:rFonts w:ascii="Arial" w:hAnsi="Arial" w:cs="Arial"/>
              </w:rPr>
              <w:t>完成</w:t>
            </w:r>
            <w:r>
              <w:rPr>
                <w:rFonts w:ascii="Arial" w:hAnsi="Arial" w:cs="Arial"/>
              </w:rPr>
              <w:t>2021</w:t>
            </w:r>
            <w:r>
              <w:rPr>
                <w:rFonts w:ascii="Arial" w:hAnsi="Arial" w:cs="Arial"/>
              </w:rPr>
              <w:t>年度的债务化解计划，减少学校债务，维护学校声誉。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已完成目标</w:t>
            </w:r>
          </w:p>
        </w:tc>
      </w:tr>
      <w:tr w:rsidR="003241BB" w:rsidTr="003C41F3">
        <w:trPr>
          <w:trHeight w:val="415"/>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归还债务时间</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12月31日前</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12月31日前</w:t>
            </w: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本年承担债务金额</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500万元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1244.03万元</w:t>
            </w: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577"/>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
        </w:tc>
      </w:tr>
      <w:tr w:rsidR="003241BB" w:rsidTr="003C41F3">
        <w:trPr>
          <w:trHeight w:val="480"/>
        </w:trPr>
        <w:tc>
          <w:tcPr>
            <w:tcW w:w="1977" w:type="dxa"/>
            <w:vMerge/>
            <w:tcBorders>
              <w:left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促进学校教育教学的良性运转</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sidRPr="008E52F9">
              <w:rPr>
                <w:rFonts w:ascii="仿宋_GB2312" w:eastAsia="仿宋_GB2312" w:hAnsi="仿宋_GB2312" w:cs="仿宋_GB2312" w:hint="eastAsia"/>
                <w:sz w:val="28"/>
                <w:szCs w:val="28"/>
              </w:rPr>
              <w:t>随着学校债务的逐步化解，逐渐减轻学校的压力，学校可集中精力到教育教学工作中去，全面提高教育教学水平，引领学校向高层次发展。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完成预定目标</w:t>
            </w:r>
          </w:p>
        </w:tc>
      </w:tr>
      <w:tr w:rsidR="003241BB" w:rsidTr="003C41F3">
        <w:trPr>
          <w:trHeight w:val="530"/>
        </w:trPr>
        <w:tc>
          <w:tcPr>
            <w:tcW w:w="1977" w:type="dxa"/>
            <w:vMerge/>
            <w:tcBorders>
              <w:left w:val="single" w:sz="4" w:space="0" w:color="000000"/>
              <w:bottom w:val="single" w:sz="4" w:space="0" w:color="000000"/>
              <w:right w:val="single" w:sz="4" w:space="0" w:color="000000"/>
            </w:tcBorders>
            <w:shd w:val="clear" w:color="auto" w:fill="auto"/>
            <w:vAlign w:val="center"/>
          </w:tcPr>
          <w:p w:rsidR="003241BB" w:rsidRDefault="003241BB" w:rsidP="003C41F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rPr>
              <w:t>满意</w:t>
            </w:r>
            <w:proofErr w:type="gramEnd"/>
            <w:r>
              <w:rPr>
                <w:rFonts w:ascii="仿宋_GB2312" w:eastAsia="仿宋_GB2312" w:hAnsi="仿宋_GB2312" w:cs="仿宋_GB2312" w:hint="eastAsia"/>
                <w:kern w:val="0"/>
                <w:sz w:val="28"/>
                <w:szCs w:val="28"/>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Pr="008E52F9" w:rsidRDefault="003241BB" w:rsidP="003C41F3">
            <w:pPr>
              <w:spacing w:after="240"/>
              <w:jc w:val="center"/>
              <w:rPr>
                <w:rFonts w:ascii="Arial" w:hAnsi="Arial" w:cs="Arial"/>
                <w:sz w:val="24"/>
              </w:rPr>
            </w:pPr>
            <w:r>
              <w:rPr>
                <w:rFonts w:ascii="Arial" w:hAnsi="Arial" w:cs="Arial"/>
              </w:rPr>
              <w:t>政府、学校、银行满意</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241BB" w:rsidRDefault="003241BB" w:rsidP="003C41F3">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100%</w:t>
            </w:r>
          </w:p>
        </w:tc>
      </w:tr>
    </w:tbl>
    <w:p w:rsidR="003241BB" w:rsidRDefault="003241BB" w:rsidP="004D701C">
      <w:pPr>
        <w:pStyle w:val="a0"/>
        <w:spacing w:before="93"/>
      </w:pPr>
    </w:p>
    <w:p w:rsidR="002B1903" w:rsidRPr="004D701C" w:rsidRDefault="002B1903" w:rsidP="004D701C">
      <w:pPr>
        <w:pStyle w:val="a0"/>
        <w:spacing w:before="93"/>
      </w:pPr>
    </w:p>
    <w:p w:rsidR="00FB7B1A" w:rsidRDefault="00A57848">
      <w:pPr>
        <w:spacing w:line="600" w:lineRule="exact"/>
        <w:jc w:val="center"/>
        <w:outlineLvl w:val="0"/>
        <w:rPr>
          <w:rFonts w:ascii="仿宋" w:eastAsia="仿宋" w:hAnsi="仿宋"/>
        </w:rPr>
      </w:pPr>
      <w:bookmarkStart w:id="84" w:name="_Toc115080924"/>
      <w:r>
        <w:rPr>
          <w:rFonts w:ascii="黑体" w:eastAsia="黑体" w:hAnsi="黑体" w:hint="eastAsia"/>
          <w:sz w:val="44"/>
          <w:szCs w:val="44"/>
        </w:rPr>
        <w:t>第</w:t>
      </w:r>
      <w:r>
        <w:rPr>
          <w:rStyle w:val="1Char"/>
          <w:rFonts w:ascii="黑体" w:eastAsia="黑体" w:hAnsi="黑体" w:hint="eastAsia"/>
          <w:b w:val="0"/>
        </w:rPr>
        <w:t>五部分 附表</w:t>
      </w:r>
      <w:bookmarkStart w:id="85" w:name="_Toc15396619"/>
      <w:bookmarkEnd w:id="75"/>
      <w:bookmarkEnd w:id="79"/>
      <w:bookmarkEnd w:id="84"/>
    </w:p>
    <w:p w:rsidR="00FB7B1A" w:rsidRDefault="00A57848">
      <w:pPr>
        <w:pStyle w:val="2"/>
        <w:rPr>
          <w:rFonts w:ascii="仿宋" w:eastAsia="仿宋" w:hAnsi="仿宋"/>
        </w:rPr>
      </w:pPr>
      <w:bookmarkStart w:id="86" w:name="_Toc115080925"/>
      <w:r>
        <w:rPr>
          <w:rFonts w:ascii="仿宋" w:eastAsia="仿宋" w:hAnsi="仿宋" w:hint="eastAsia"/>
          <w:b w:val="0"/>
        </w:rPr>
        <w:t>一、收</w:t>
      </w:r>
      <w:r>
        <w:rPr>
          <w:rStyle w:val="2Char"/>
          <w:rFonts w:ascii="仿宋" w:eastAsia="仿宋" w:hAnsi="仿宋" w:hint="eastAsia"/>
        </w:rPr>
        <w:t>入支出决算总表</w:t>
      </w:r>
      <w:bookmarkEnd w:id="85"/>
      <w:bookmarkEnd w:id="86"/>
    </w:p>
    <w:p w:rsidR="00FB7B1A" w:rsidRDefault="00A57848">
      <w:pPr>
        <w:pStyle w:val="2"/>
        <w:rPr>
          <w:rFonts w:ascii="仿宋" w:eastAsia="仿宋" w:hAnsi="仿宋"/>
        </w:rPr>
      </w:pPr>
      <w:bookmarkStart w:id="87" w:name="_Toc15396620"/>
      <w:bookmarkStart w:id="88" w:name="_Toc115080926"/>
      <w:r>
        <w:rPr>
          <w:rFonts w:ascii="仿宋" w:eastAsia="仿宋" w:hAnsi="仿宋" w:hint="eastAsia"/>
          <w:b w:val="0"/>
        </w:rPr>
        <w:t>二、收</w:t>
      </w:r>
      <w:r>
        <w:rPr>
          <w:rStyle w:val="2Char"/>
          <w:rFonts w:ascii="仿宋" w:eastAsia="仿宋" w:hAnsi="仿宋" w:hint="eastAsia"/>
        </w:rPr>
        <w:t>入决算表</w:t>
      </w:r>
      <w:bookmarkEnd w:id="87"/>
      <w:bookmarkEnd w:id="88"/>
    </w:p>
    <w:p w:rsidR="00FB7B1A" w:rsidRDefault="00A57848">
      <w:pPr>
        <w:pStyle w:val="2"/>
        <w:rPr>
          <w:rFonts w:ascii="仿宋" w:eastAsia="仿宋" w:hAnsi="仿宋"/>
        </w:rPr>
      </w:pPr>
      <w:bookmarkStart w:id="89" w:name="_Toc15396621"/>
      <w:bookmarkStart w:id="90" w:name="_Toc115080927"/>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89"/>
      <w:bookmarkEnd w:id="90"/>
    </w:p>
    <w:p w:rsidR="00FB7B1A" w:rsidRDefault="00A57848">
      <w:pPr>
        <w:pStyle w:val="2"/>
        <w:rPr>
          <w:rFonts w:ascii="仿宋" w:eastAsia="仿宋" w:hAnsi="仿宋"/>
          <w:b w:val="0"/>
        </w:rPr>
      </w:pPr>
      <w:bookmarkStart w:id="91" w:name="_Toc15396622"/>
      <w:bookmarkStart w:id="92" w:name="_Toc115080928"/>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1"/>
      <w:bookmarkEnd w:id="92"/>
    </w:p>
    <w:p w:rsidR="00FB7B1A" w:rsidRDefault="00A57848">
      <w:pPr>
        <w:pStyle w:val="2"/>
        <w:rPr>
          <w:rStyle w:val="2Char"/>
          <w:rFonts w:ascii="仿宋" w:eastAsia="仿宋" w:hAnsi="仿宋"/>
        </w:rPr>
      </w:pPr>
      <w:bookmarkStart w:id="93" w:name="_Toc15396623"/>
      <w:bookmarkStart w:id="94" w:name="_Toc115080929"/>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95" w:name="_Toc15396624"/>
      <w:bookmarkEnd w:id="93"/>
      <w:bookmarkEnd w:id="94"/>
    </w:p>
    <w:p w:rsidR="00FB7B1A" w:rsidRDefault="00A57848">
      <w:pPr>
        <w:pStyle w:val="2"/>
        <w:rPr>
          <w:rFonts w:ascii="仿宋" w:eastAsia="仿宋" w:hAnsi="仿宋"/>
        </w:rPr>
      </w:pPr>
      <w:bookmarkStart w:id="96" w:name="_Toc115080930"/>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95"/>
      <w:bookmarkEnd w:id="96"/>
    </w:p>
    <w:p w:rsidR="00FB7B1A" w:rsidRDefault="00A57848">
      <w:pPr>
        <w:pStyle w:val="2"/>
        <w:rPr>
          <w:rFonts w:ascii="仿宋" w:eastAsia="仿宋" w:hAnsi="仿宋"/>
        </w:rPr>
      </w:pPr>
      <w:bookmarkStart w:id="97" w:name="_Toc15396625"/>
      <w:bookmarkStart w:id="98" w:name="_Toc115080931"/>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97"/>
      <w:bookmarkEnd w:id="98"/>
    </w:p>
    <w:p w:rsidR="00FB7B1A" w:rsidRDefault="00A57848">
      <w:pPr>
        <w:pStyle w:val="2"/>
        <w:rPr>
          <w:rFonts w:ascii="仿宋" w:eastAsia="仿宋" w:hAnsi="仿宋"/>
        </w:rPr>
      </w:pPr>
      <w:bookmarkStart w:id="99" w:name="_Toc15396626"/>
      <w:bookmarkStart w:id="100" w:name="_Toc115080932"/>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99"/>
      <w:bookmarkEnd w:id="100"/>
    </w:p>
    <w:p w:rsidR="00FB7B1A" w:rsidRDefault="00A57848">
      <w:pPr>
        <w:pStyle w:val="2"/>
        <w:rPr>
          <w:rFonts w:ascii="仿宋" w:eastAsia="仿宋" w:hAnsi="仿宋"/>
        </w:rPr>
      </w:pPr>
      <w:bookmarkStart w:id="101" w:name="_Toc15396627"/>
      <w:bookmarkStart w:id="102" w:name="_Toc115080933"/>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1"/>
      <w:bookmarkEnd w:id="102"/>
    </w:p>
    <w:p w:rsidR="00FB7B1A" w:rsidRDefault="00A57848">
      <w:pPr>
        <w:pStyle w:val="2"/>
        <w:rPr>
          <w:rFonts w:ascii="仿宋" w:eastAsia="仿宋" w:hAnsi="仿宋"/>
        </w:rPr>
      </w:pPr>
      <w:bookmarkStart w:id="103" w:name="_Toc15396628"/>
      <w:bookmarkStart w:id="104" w:name="_Toc115080934"/>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03"/>
      <w:bookmarkEnd w:id="104"/>
    </w:p>
    <w:p w:rsidR="00FB7B1A" w:rsidRDefault="00A57848">
      <w:pPr>
        <w:pStyle w:val="2"/>
        <w:rPr>
          <w:rFonts w:ascii="仿宋" w:eastAsia="仿宋" w:hAnsi="仿宋"/>
        </w:rPr>
      </w:pPr>
      <w:bookmarkStart w:id="105" w:name="_Toc15396629"/>
      <w:bookmarkStart w:id="106" w:name="_Toc115080935"/>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105"/>
      <w:bookmarkEnd w:id="106"/>
    </w:p>
    <w:p w:rsidR="00FB7B1A" w:rsidRDefault="00A57848">
      <w:pPr>
        <w:pStyle w:val="2"/>
        <w:rPr>
          <w:rFonts w:ascii="仿宋" w:eastAsia="仿宋" w:hAnsi="仿宋"/>
        </w:rPr>
      </w:pPr>
      <w:bookmarkStart w:id="107" w:name="_Toc15396630"/>
      <w:bookmarkStart w:id="108" w:name="_Toc115080936"/>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107"/>
      <w:bookmarkEnd w:id="108"/>
    </w:p>
    <w:p w:rsidR="00FB7B1A" w:rsidRDefault="00A57848">
      <w:pPr>
        <w:pStyle w:val="2"/>
        <w:rPr>
          <w:rStyle w:val="2Char"/>
          <w:rFonts w:ascii="仿宋" w:eastAsia="仿宋" w:hAnsi="仿宋"/>
        </w:rPr>
      </w:pPr>
      <w:bookmarkStart w:id="109" w:name="_Toc15396631"/>
      <w:bookmarkStart w:id="110" w:name="_Toc115080937"/>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109"/>
      <w:bookmarkEnd w:id="110"/>
    </w:p>
    <w:p w:rsidR="00FB7B1A" w:rsidRDefault="00A57848">
      <w:pPr>
        <w:rPr>
          <w:rFonts w:eastAsia="仿宋"/>
        </w:rPr>
      </w:pPr>
      <w:bookmarkStart w:id="111" w:name="_Toc115080938"/>
      <w:r>
        <w:rPr>
          <w:rStyle w:val="2Char"/>
          <w:rFonts w:ascii="仿宋" w:eastAsia="仿宋" w:hAnsi="仿宋" w:hint="eastAsia"/>
          <w:b w:val="0"/>
          <w:bCs w:val="0"/>
        </w:rPr>
        <w:t>十四、国有资本经营预算财政拨款支出决算表</w:t>
      </w:r>
      <w:bookmarkEnd w:id="111"/>
    </w:p>
    <w:sectPr w:rsidR="00FB7B1A" w:rsidSect="00FB7B1A">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75C" w:rsidRDefault="0012475C" w:rsidP="00FB7B1A">
      <w:r>
        <w:separator/>
      </w:r>
    </w:p>
  </w:endnote>
  <w:endnote w:type="continuationSeparator" w:id="0">
    <w:p w:rsidR="0012475C" w:rsidRDefault="0012475C" w:rsidP="00FB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auto"/>
    <w:pitch w:val="variable"/>
    <w:sig w:usb0="00000001" w:usb1="080E0000" w:usb2="00000010" w:usb3="00000000" w:csb0="00040000" w:csb1="00000000"/>
  </w:font>
  <w:font w:name="Malgun Gothic Semilight">
    <w:altName w:val="Arial Unicode MS"/>
    <w:charset w:val="86"/>
    <w:family w:val="swiss"/>
    <w:pitch w:val="variable"/>
    <w:sig w:usb0="00000000" w:usb1="09DF7CFB" w:usb2="00000012" w:usb3="00000000" w:csb0="003E01BD"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D15656" w:rsidRDefault="004D0DDF">
        <w:pPr>
          <w:pStyle w:val="a5"/>
          <w:jc w:val="center"/>
        </w:pPr>
        <w:r>
          <w:fldChar w:fldCharType="begin"/>
        </w:r>
        <w:r w:rsidR="00D15656">
          <w:instrText>PAGE   \* MERGEFORMAT</w:instrText>
        </w:r>
        <w:r>
          <w:fldChar w:fldCharType="separate"/>
        </w:r>
        <w:r w:rsidR="004C3C74" w:rsidRPr="004C3C74">
          <w:rPr>
            <w:noProof/>
            <w:lang w:val="zh-CN"/>
          </w:rPr>
          <w:t>22</w:t>
        </w:r>
        <w:r>
          <w:fldChar w:fldCharType="end"/>
        </w:r>
      </w:p>
    </w:sdtContent>
  </w:sdt>
  <w:p w:rsidR="00D15656" w:rsidRDefault="00D156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75C" w:rsidRDefault="0012475C" w:rsidP="00FB7B1A">
      <w:r>
        <w:separator/>
      </w:r>
    </w:p>
  </w:footnote>
  <w:footnote w:type="continuationSeparator" w:id="0">
    <w:p w:rsidR="0012475C" w:rsidRDefault="0012475C" w:rsidP="00FB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56" w:rsidRDefault="00D1565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02107"/>
    <w:multiLevelType w:val="singleLevel"/>
    <w:tmpl w:val="ADF02107"/>
    <w:lvl w:ilvl="0">
      <w:start w:val="2"/>
      <w:numFmt w:val="chineseCounting"/>
      <w:suff w:val="nothing"/>
      <w:lvlText w:val="（%1）"/>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4CBA3EA"/>
    <w:multiLevelType w:val="singleLevel"/>
    <w:tmpl w:val="14CBA3EA"/>
    <w:lvl w:ilvl="0">
      <w:start w:val="2"/>
      <w:numFmt w:val="decimal"/>
      <w:suff w:val="nothing"/>
      <w:lvlText w:val="（%1）"/>
      <w:lvlJc w:val="left"/>
      <w:pPr>
        <w:ind w:left="-10"/>
      </w:pPr>
    </w:lvl>
  </w:abstractNum>
  <w:abstractNum w:abstractNumId="5">
    <w:nsid w:val="58EC12F3"/>
    <w:multiLevelType w:val="hybridMultilevel"/>
    <w:tmpl w:val="B44C6A38"/>
    <w:lvl w:ilvl="0" w:tplc="97F4F1E6">
      <w:start w:val="1"/>
      <w:numFmt w:val="japaneseCounting"/>
      <w:lvlText w:val="%1、"/>
      <w:lvlJc w:val="left"/>
      <w:pPr>
        <w:ind w:left="648" w:hanging="6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E3A10E2"/>
    <w:rsid w:val="F2E1F9D4"/>
    <w:rsid w:val="F7880819"/>
    <w:rsid w:val="00000515"/>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475C"/>
    <w:rsid w:val="00131562"/>
    <w:rsid w:val="00132E8D"/>
    <w:rsid w:val="00142216"/>
    <w:rsid w:val="00144D6A"/>
    <w:rsid w:val="0014729F"/>
    <w:rsid w:val="00157BAB"/>
    <w:rsid w:val="001654D1"/>
    <w:rsid w:val="00174518"/>
    <w:rsid w:val="0018106D"/>
    <w:rsid w:val="001877A7"/>
    <w:rsid w:val="00191536"/>
    <w:rsid w:val="00196687"/>
    <w:rsid w:val="001C0962"/>
    <w:rsid w:val="001D7531"/>
    <w:rsid w:val="001E1763"/>
    <w:rsid w:val="001E4CAA"/>
    <w:rsid w:val="001E737D"/>
    <w:rsid w:val="001F0592"/>
    <w:rsid w:val="001F7506"/>
    <w:rsid w:val="002006CD"/>
    <w:rsid w:val="00202B36"/>
    <w:rsid w:val="00204B7A"/>
    <w:rsid w:val="00204CDE"/>
    <w:rsid w:val="00206745"/>
    <w:rsid w:val="0021101A"/>
    <w:rsid w:val="002174D2"/>
    <w:rsid w:val="00220536"/>
    <w:rsid w:val="0022694C"/>
    <w:rsid w:val="00235629"/>
    <w:rsid w:val="00260C38"/>
    <w:rsid w:val="002616C0"/>
    <w:rsid w:val="00265372"/>
    <w:rsid w:val="002662AA"/>
    <w:rsid w:val="00280496"/>
    <w:rsid w:val="00294DC9"/>
    <w:rsid w:val="00295495"/>
    <w:rsid w:val="002A31DE"/>
    <w:rsid w:val="002B1903"/>
    <w:rsid w:val="002B2613"/>
    <w:rsid w:val="002B3FD4"/>
    <w:rsid w:val="002D6D05"/>
    <w:rsid w:val="002F1818"/>
    <w:rsid w:val="002F567B"/>
    <w:rsid w:val="003216A9"/>
    <w:rsid w:val="003241BB"/>
    <w:rsid w:val="00335A74"/>
    <w:rsid w:val="00343B87"/>
    <w:rsid w:val="0036561B"/>
    <w:rsid w:val="0037013F"/>
    <w:rsid w:val="00380C92"/>
    <w:rsid w:val="003A0E8C"/>
    <w:rsid w:val="003A2160"/>
    <w:rsid w:val="003A484F"/>
    <w:rsid w:val="003A4883"/>
    <w:rsid w:val="003B0BE0"/>
    <w:rsid w:val="003B0C1B"/>
    <w:rsid w:val="003B688C"/>
    <w:rsid w:val="003B6FB4"/>
    <w:rsid w:val="003C0291"/>
    <w:rsid w:val="003C39AE"/>
    <w:rsid w:val="003C7B60"/>
    <w:rsid w:val="003D0C0F"/>
    <w:rsid w:val="003D1FB2"/>
    <w:rsid w:val="003D66DA"/>
    <w:rsid w:val="003E1310"/>
    <w:rsid w:val="003E6F55"/>
    <w:rsid w:val="004050BD"/>
    <w:rsid w:val="00406254"/>
    <w:rsid w:val="004223DE"/>
    <w:rsid w:val="00434489"/>
    <w:rsid w:val="0043635A"/>
    <w:rsid w:val="00437085"/>
    <w:rsid w:val="00443880"/>
    <w:rsid w:val="004464F4"/>
    <w:rsid w:val="00446D43"/>
    <w:rsid w:val="00457AEA"/>
    <w:rsid w:val="00471401"/>
    <w:rsid w:val="00473F31"/>
    <w:rsid w:val="00477BA3"/>
    <w:rsid w:val="0048263A"/>
    <w:rsid w:val="00487E5D"/>
    <w:rsid w:val="004A711F"/>
    <w:rsid w:val="004B199D"/>
    <w:rsid w:val="004B4690"/>
    <w:rsid w:val="004B778B"/>
    <w:rsid w:val="004C3C74"/>
    <w:rsid w:val="004D0DDF"/>
    <w:rsid w:val="004D701C"/>
    <w:rsid w:val="004E0A2D"/>
    <w:rsid w:val="004E206B"/>
    <w:rsid w:val="004E6DF7"/>
    <w:rsid w:val="004F0FBD"/>
    <w:rsid w:val="00505A47"/>
    <w:rsid w:val="00512FDA"/>
    <w:rsid w:val="00520DA0"/>
    <w:rsid w:val="00526F3C"/>
    <w:rsid w:val="0054493B"/>
    <w:rsid w:val="005561D0"/>
    <w:rsid w:val="005664BB"/>
    <w:rsid w:val="00566FFA"/>
    <w:rsid w:val="0057481D"/>
    <w:rsid w:val="0058486E"/>
    <w:rsid w:val="00585B33"/>
    <w:rsid w:val="0059014D"/>
    <w:rsid w:val="005955DC"/>
    <w:rsid w:val="005B5C64"/>
    <w:rsid w:val="005C5337"/>
    <w:rsid w:val="005C6BAB"/>
    <w:rsid w:val="005C6BD0"/>
    <w:rsid w:val="005D1C8B"/>
    <w:rsid w:val="005D468D"/>
    <w:rsid w:val="005D5CED"/>
    <w:rsid w:val="005E22CD"/>
    <w:rsid w:val="005F1A4C"/>
    <w:rsid w:val="00605688"/>
    <w:rsid w:val="006070AF"/>
    <w:rsid w:val="00607E6C"/>
    <w:rsid w:val="006101B1"/>
    <w:rsid w:val="00614E44"/>
    <w:rsid w:val="0062270A"/>
    <w:rsid w:val="00622830"/>
    <w:rsid w:val="00623DA0"/>
    <w:rsid w:val="00625996"/>
    <w:rsid w:val="00630AEF"/>
    <w:rsid w:val="006325F8"/>
    <w:rsid w:val="00633463"/>
    <w:rsid w:val="00634C9A"/>
    <w:rsid w:val="00643FA2"/>
    <w:rsid w:val="006440E4"/>
    <w:rsid w:val="0066343B"/>
    <w:rsid w:val="00664777"/>
    <w:rsid w:val="00672218"/>
    <w:rsid w:val="006748A4"/>
    <w:rsid w:val="00681A31"/>
    <w:rsid w:val="00683E73"/>
    <w:rsid w:val="006A3141"/>
    <w:rsid w:val="006A5E34"/>
    <w:rsid w:val="006B2422"/>
    <w:rsid w:val="006B2B9A"/>
    <w:rsid w:val="006C1937"/>
    <w:rsid w:val="006D478E"/>
    <w:rsid w:val="006F020C"/>
    <w:rsid w:val="007127B7"/>
    <w:rsid w:val="0071798E"/>
    <w:rsid w:val="007416B6"/>
    <w:rsid w:val="00745F13"/>
    <w:rsid w:val="00746F48"/>
    <w:rsid w:val="007479CE"/>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25B6"/>
    <w:rsid w:val="007F1991"/>
    <w:rsid w:val="007F2C2F"/>
    <w:rsid w:val="007F55FC"/>
    <w:rsid w:val="007F5665"/>
    <w:rsid w:val="00800112"/>
    <w:rsid w:val="00813348"/>
    <w:rsid w:val="0082059A"/>
    <w:rsid w:val="008253BB"/>
    <w:rsid w:val="0083706E"/>
    <w:rsid w:val="0083725B"/>
    <w:rsid w:val="008408F6"/>
    <w:rsid w:val="008423A5"/>
    <w:rsid w:val="00843071"/>
    <w:rsid w:val="00850625"/>
    <w:rsid w:val="00853718"/>
    <w:rsid w:val="00855221"/>
    <w:rsid w:val="00860645"/>
    <w:rsid w:val="008705EC"/>
    <w:rsid w:val="00871F71"/>
    <w:rsid w:val="00872FD8"/>
    <w:rsid w:val="00873305"/>
    <w:rsid w:val="00885AF4"/>
    <w:rsid w:val="00893963"/>
    <w:rsid w:val="008939CD"/>
    <w:rsid w:val="008B768C"/>
    <w:rsid w:val="008C4DB1"/>
    <w:rsid w:val="008C4EAF"/>
    <w:rsid w:val="008C5176"/>
    <w:rsid w:val="008C7FD0"/>
    <w:rsid w:val="008E1DE7"/>
    <w:rsid w:val="008E707C"/>
    <w:rsid w:val="00900B08"/>
    <w:rsid w:val="00902155"/>
    <w:rsid w:val="00902FA3"/>
    <w:rsid w:val="00920FE9"/>
    <w:rsid w:val="00923564"/>
    <w:rsid w:val="0092392E"/>
    <w:rsid w:val="00930844"/>
    <w:rsid w:val="009315F9"/>
    <w:rsid w:val="00933499"/>
    <w:rsid w:val="00935C98"/>
    <w:rsid w:val="00946945"/>
    <w:rsid w:val="00951248"/>
    <w:rsid w:val="0095152F"/>
    <w:rsid w:val="009541CC"/>
    <w:rsid w:val="00954C49"/>
    <w:rsid w:val="00955E37"/>
    <w:rsid w:val="00960F16"/>
    <w:rsid w:val="0097099F"/>
    <w:rsid w:val="00971997"/>
    <w:rsid w:val="00971FFC"/>
    <w:rsid w:val="0098660A"/>
    <w:rsid w:val="009931C3"/>
    <w:rsid w:val="009950E1"/>
    <w:rsid w:val="009B0834"/>
    <w:rsid w:val="009B2C43"/>
    <w:rsid w:val="009B4EAE"/>
    <w:rsid w:val="009B7573"/>
    <w:rsid w:val="009C22F4"/>
    <w:rsid w:val="009C2A4B"/>
    <w:rsid w:val="009C2E98"/>
    <w:rsid w:val="009D3447"/>
    <w:rsid w:val="009D4711"/>
    <w:rsid w:val="009D5712"/>
    <w:rsid w:val="009D6053"/>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848"/>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6EF6"/>
    <w:rsid w:val="00B425E0"/>
    <w:rsid w:val="00B440AA"/>
    <w:rsid w:val="00B44B70"/>
    <w:rsid w:val="00B53C56"/>
    <w:rsid w:val="00B57DAF"/>
    <w:rsid w:val="00B72B4C"/>
    <w:rsid w:val="00B77EA6"/>
    <w:rsid w:val="00B81598"/>
    <w:rsid w:val="00B841F1"/>
    <w:rsid w:val="00B944D6"/>
    <w:rsid w:val="00BA6E2C"/>
    <w:rsid w:val="00BB4DF0"/>
    <w:rsid w:val="00BB67D5"/>
    <w:rsid w:val="00BC289F"/>
    <w:rsid w:val="00BC2D50"/>
    <w:rsid w:val="00BC5361"/>
    <w:rsid w:val="00BC5460"/>
    <w:rsid w:val="00BC6B50"/>
    <w:rsid w:val="00BD0E25"/>
    <w:rsid w:val="00BE097D"/>
    <w:rsid w:val="00BF5BD6"/>
    <w:rsid w:val="00BF6EC4"/>
    <w:rsid w:val="00C03E31"/>
    <w:rsid w:val="00C05A1B"/>
    <w:rsid w:val="00C33E72"/>
    <w:rsid w:val="00C354B2"/>
    <w:rsid w:val="00C35554"/>
    <w:rsid w:val="00C42709"/>
    <w:rsid w:val="00C533CC"/>
    <w:rsid w:val="00C5751C"/>
    <w:rsid w:val="00C61BFC"/>
    <w:rsid w:val="00C62B85"/>
    <w:rsid w:val="00C65438"/>
    <w:rsid w:val="00C857DA"/>
    <w:rsid w:val="00C87FD8"/>
    <w:rsid w:val="00C91381"/>
    <w:rsid w:val="00C91CBB"/>
    <w:rsid w:val="00CB0B23"/>
    <w:rsid w:val="00CB4E70"/>
    <w:rsid w:val="00CC09B6"/>
    <w:rsid w:val="00CC5C9B"/>
    <w:rsid w:val="00CC666F"/>
    <w:rsid w:val="00CD1E3F"/>
    <w:rsid w:val="00CE44F6"/>
    <w:rsid w:val="00CE49DA"/>
    <w:rsid w:val="00CE7B61"/>
    <w:rsid w:val="00D00095"/>
    <w:rsid w:val="00D114F0"/>
    <w:rsid w:val="00D15656"/>
    <w:rsid w:val="00D20620"/>
    <w:rsid w:val="00D22FF8"/>
    <w:rsid w:val="00D254F7"/>
    <w:rsid w:val="00D26091"/>
    <w:rsid w:val="00D2685C"/>
    <w:rsid w:val="00D34E7C"/>
    <w:rsid w:val="00D35489"/>
    <w:rsid w:val="00D36AFE"/>
    <w:rsid w:val="00D51276"/>
    <w:rsid w:val="00D6365E"/>
    <w:rsid w:val="00D7035F"/>
    <w:rsid w:val="00D82F35"/>
    <w:rsid w:val="00D856B5"/>
    <w:rsid w:val="00DA0CB2"/>
    <w:rsid w:val="00DA634F"/>
    <w:rsid w:val="00DA65AC"/>
    <w:rsid w:val="00DB0F8F"/>
    <w:rsid w:val="00DB1913"/>
    <w:rsid w:val="00DC410D"/>
    <w:rsid w:val="00DC5A81"/>
    <w:rsid w:val="00DC68CA"/>
    <w:rsid w:val="00DC7CBA"/>
    <w:rsid w:val="00DD73B7"/>
    <w:rsid w:val="00DE4F08"/>
    <w:rsid w:val="00DF28BC"/>
    <w:rsid w:val="00DF34B9"/>
    <w:rsid w:val="00DF4EB9"/>
    <w:rsid w:val="00E01053"/>
    <w:rsid w:val="00E07ACF"/>
    <w:rsid w:val="00E209FC"/>
    <w:rsid w:val="00E25D9A"/>
    <w:rsid w:val="00E331A1"/>
    <w:rsid w:val="00E33202"/>
    <w:rsid w:val="00E336A9"/>
    <w:rsid w:val="00E472B1"/>
    <w:rsid w:val="00E50624"/>
    <w:rsid w:val="00E568DF"/>
    <w:rsid w:val="00E5713A"/>
    <w:rsid w:val="00E64269"/>
    <w:rsid w:val="00E655FA"/>
    <w:rsid w:val="00E82267"/>
    <w:rsid w:val="00E839B2"/>
    <w:rsid w:val="00E853CE"/>
    <w:rsid w:val="00E867B6"/>
    <w:rsid w:val="00E97603"/>
    <w:rsid w:val="00EA010F"/>
    <w:rsid w:val="00ED1B63"/>
    <w:rsid w:val="00ED3C1F"/>
    <w:rsid w:val="00ED4085"/>
    <w:rsid w:val="00ED420E"/>
    <w:rsid w:val="00ED6FBE"/>
    <w:rsid w:val="00EE2F57"/>
    <w:rsid w:val="00EF4C34"/>
    <w:rsid w:val="00EF77C6"/>
    <w:rsid w:val="00F04745"/>
    <w:rsid w:val="00F05438"/>
    <w:rsid w:val="00F1361C"/>
    <w:rsid w:val="00F156F0"/>
    <w:rsid w:val="00F160C7"/>
    <w:rsid w:val="00F2408F"/>
    <w:rsid w:val="00F240E9"/>
    <w:rsid w:val="00F36D8F"/>
    <w:rsid w:val="00F417B1"/>
    <w:rsid w:val="00F45853"/>
    <w:rsid w:val="00F45A1C"/>
    <w:rsid w:val="00F53893"/>
    <w:rsid w:val="00F602DF"/>
    <w:rsid w:val="00F754A1"/>
    <w:rsid w:val="00F81FD9"/>
    <w:rsid w:val="00F841AA"/>
    <w:rsid w:val="00F84A94"/>
    <w:rsid w:val="00F87E96"/>
    <w:rsid w:val="00FA23E8"/>
    <w:rsid w:val="00FA6C28"/>
    <w:rsid w:val="00FB72A1"/>
    <w:rsid w:val="00FB7B1A"/>
    <w:rsid w:val="00FC039B"/>
    <w:rsid w:val="00FD3CC1"/>
    <w:rsid w:val="00FD6403"/>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CE2238"/>
    <w:rsid w:val="51DB4B86"/>
    <w:rsid w:val="55333C3E"/>
    <w:rsid w:val="64CA39A1"/>
    <w:rsid w:val="6C4A05C8"/>
    <w:rsid w:val="72734D90"/>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7B1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B7B1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B7B1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B7B1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B7B1A"/>
    <w:pPr>
      <w:spacing w:beforeLines="30"/>
    </w:pPr>
    <w:rPr>
      <w:rFonts w:ascii="仿宋_GB2312" w:eastAsia="仿宋_GB2312"/>
      <w:kern w:val="0"/>
      <w:sz w:val="30"/>
    </w:rPr>
  </w:style>
  <w:style w:type="paragraph" w:styleId="30">
    <w:name w:val="toc 3"/>
    <w:basedOn w:val="a"/>
    <w:next w:val="a"/>
    <w:uiPriority w:val="39"/>
    <w:unhideWhenUsed/>
    <w:qFormat/>
    <w:rsid w:val="00FB7B1A"/>
    <w:pPr>
      <w:tabs>
        <w:tab w:val="right" w:leader="dot" w:pos="8296"/>
      </w:tabs>
      <w:ind w:leftChars="400" w:left="840"/>
    </w:pPr>
  </w:style>
  <w:style w:type="paragraph" w:styleId="a4">
    <w:name w:val="Balloon Text"/>
    <w:basedOn w:val="a"/>
    <w:link w:val="Char0"/>
    <w:uiPriority w:val="99"/>
    <w:semiHidden/>
    <w:unhideWhenUsed/>
    <w:qFormat/>
    <w:rsid w:val="00FB7B1A"/>
    <w:rPr>
      <w:sz w:val="18"/>
      <w:szCs w:val="18"/>
    </w:rPr>
  </w:style>
  <w:style w:type="paragraph" w:styleId="a5">
    <w:name w:val="footer"/>
    <w:basedOn w:val="a"/>
    <w:link w:val="Char1"/>
    <w:uiPriority w:val="99"/>
    <w:qFormat/>
    <w:rsid w:val="00FB7B1A"/>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FB7B1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FB7B1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B7B1A"/>
    <w:pPr>
      <w:tabs>
        <w:tab w:val="right" w:leader="dot" w:pos="8296"/>
      </w:tabs>
      <w:ind w:leftChars="200" w:left="420"/>
    </w:pPr>
  </w:style>
  <w:style w:type="character" w:styleId="a7">
    <w:name w:val="Strong"/>
    <w:basedOn w:val="a1"/>
    <w:uiPriority w:val="99"/>
    <w:qFormat/>
    <w:rsid w:val="00FB7B1A"/>
    <w:rPr>
      <w:b/>
    </w:rPr>
  </w:style>
  <w:style w:type="character" w:styleId="a8">
    <w:name w:val="Hyperlink"/>
    <w:basedOn w:val="a1"/>
    <w:uiPriority w:val="99"/>
    <w:unhideWhenUsed/>
    <w:qFormat/>
    <w:rsid w:val="00FB7B1A"/>
    <w:rPr>
      <w:color w:val="0000FF" w:themeColor="hyperlink"/>
      <w:u w:val="single"/>
    </w:rPr>
  </w:style>
  <w:style w:type="character" w:customStyle="1" w:styleId="HeaderChar">
    <w:name w:val="Header Char"/>
    <w:basedOn w:val="a1"/>
    <w:uiPriority w:val="99"/>
    <w:semiHidden/>
    <w:qFormat/>
    <w:rsid w:val="00FB7B1A"/>
    <w:rPr>
      <w:rFonts w:ascii="Times New Roman" w:hAnsi="Times New Roman"/>
      <w:sz w:val="18"/>
      <w:szCs w:val="18"/>
    </w:rPr>
  </w:style>
  <w:style w:type="character" w:customStyle="1" w:styleId="Char2">
    <w:name w:val="页眉 Char"/>
    <w:link w:val="a6"/>
    <w:uiPriority w:val="99"/>
    <w:semiHidden/>
    <w:qFormat/>
    <w:locked/>
    <w:rsid w:val="00FB7B1A"/>
    <w:rPr>
      <w:sz w:val="18"/>
    </w:rPr>
  </w:style>
  <w:style w:type="character" w:customStyle="1" w:styleId="FooterChar">
    <w:name w:val="Footer Char"/>
    <w:basedOn w:val="a1"/>
    <w:uiPriority w:val="99"/>
    <w:semiHidden/>
    <w:qFormat/>
    <w:rsid w:val="00FB7B1A"/>
    <w:rPr>
      <w:rFonts w:ascii="Times New Roman" w:hAnsi="Times New Roman"/>
      <w:sz w:val="18"/>
      <w:szCs w:val="18"/>
    </w:rPr>
  </w:style>
  <w:style w:type="character" w:customStyle="1" w:styleId="Char1">
    <w:name w:val="页脚 Char"/>
    <w:link w:val="a5"/>
    <w:uiPriority w:val="99"/>
    <w:qFormat/>
    <w:locked/>
    <w:rsid w:val="00FB7B1A"/>
    <w:rPr>
      <w:sz w:val="18"/>
    </w:rPr>
  </w:style>
  <w:style w:type="character" w:customStyle="1" w:styleId="BodyTextChar">
    <w:name w:val="Body Text Char"/>
    <w:basedOn w:val="a1"/>
    <w:uiPriority w:val="99"/>
    <w:semiHidden/>
    <w:qFormat/>
    <w:rsid w:val="00FB7B1A"/>
    <w:rPr>
      <w:rFonts w:ascii="Times New Roman" w:hAnsi="Times New Roman"/>
      <w:szCs w:val="24"/>
    </w:rPr>
  </w:style>
  <w:style w:type="character" w:customStyle="1" w:styleId="Char">
    <w:name w:val="正文文本 Char"/>
    <w:link w:val="a0"/>
    <w:uiPriority w:val="99"/>
    <w:qFormat/>
    <w:locked/>
    <w:rsid w:val="00FB7B1A"/>
    <w:rPr>
      <w:rFonts w:ascii="仿宋_GB2312" w:eastAsia="仿宋_GB2312" w:hAnsi="Times New Roman"/>
      <w:sz w:val="24"/>
    </w:rPr>
  </w:style>
  <w:style w:type="paragraph" w:customStyle="1" w:styleId="Default">
    <w:name w:val="Default"/>
    <w:uiPriority w:val="99"/>
    <w:qFormat/>
    <w:rsid w:val="00FB7B1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FB7B1A"/>
    <w:pPr>
      <w:ind w:firstLineChars="200" w:firstLine="420"/>
    </w:pPr>
  </w:style>
  <w:style w:type="character" w:customStyle="1" w:styleId="1Char">
    <w:name w:val="标题 1 Char"/>
    <w:basedOn w:val="a1"/>
    <w:link w:val="1"/>
    <w:uiPriority w:val="9"/>
    <w:qFormat/>
    <w:rsid w:val="00FB7B1A"/>
    <w:rPr>
      <w:rFonts w:ascii="Times New Roman" w:hAnsi="Times New Roman"/>
      <w:b/>
      <w:bCs/>
      <w:kern w:val="44"/>
      <w:sz w:val="44"/>
      <w:szCs w:val="44"/>
    </w:rPr>
  </w:style>
  <w:style w:type="character" w:customStyle="1" w:styleId="2Char">
    <w:name w:val="标题 2 Char"/>
    <w:basedOn w:val="a1"/>
    <w:link w:val="2"/>
    <w:uiPriority w:val="9"/>
    <w:qFormat/>
    <w:rsid w:val="00FB7B1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FB7B1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FB7B1A"/>
    <w:rPr>
      <w:rFonts w:ascii="Times New Roman" w:hAnsi="Times New Roman"/>
      <w:kern w:val="2"/>
      <w:sz w:val="18"/>
      <w:szCs w:val="18"/>
    </w:rPr>
  </w:style>
  <w:style w:type="character" w:customStyle="1" w:styleId="3Char">
    <w:name w:val="标题 3 Char"/>
    <w:basedOn w:val="a1"/>
    <w:link w:val="3"/>
    <w:uiPriority w:val="9"/>
    <w:qFormat/>
    <w:rsid w:val="00FB7B1A"/>
    <w:rPr>
      <w:rFonts w:ascii="Times New Roman" w:hAnsi="Times New Roman"/>
      <w:b/>
      <w:bCs/>
      <w:kern w:val="2"/>
      <w:sz w:val="32"/>
      <w:szCs w:val="32"/>
    </w:rPr>
  </w:style>
  <w:style w:type="paragraph" w:customStyle="1" w:styleId="TOC2">
    <w:name w:val="TOC 标题2"/>
    <w:basedOn w:val="1"/>
    <w:next w:val="a"/>
    <w:uiPriority w:val="39"/>
    <w:unhideWhenUsed/>
    <w:qFormat/>
    <w:rsid w:val="00FB7B1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styleId="aa">
    <w:name w:val="Table Grid"/>
    <w:basedOn w:val="a2"/>
    <w:uiPriority w:val="59"/>
    <w:rsid w:val="00873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无间隔1"/>
    <w:qFormat/>
    <w:rsid w:val="00CB0B23"/>
    <w:pPr>
      <w:widowControl w:val="0"/>
      <w:jc w:val="both"/>
    </w:pPr>
    <w:rPr>
      <w:rFonts w:ascii="Calibri" w:eastAsia="宋体" w:hAnsi="Calibri" w:cs="Times New Roman"/>
      <w:kern w:val="2"/>
      <w:sz w:val="21"/>
      <w:szCs w:val="22"/>
    </w:rPr>
  </w:style>
  <w:style w:type="paragraph" w:styleId="TOC">
    <w:name w:val="TOC Heading"/>
    <w:basedOn w:val="1"/>
    <w:next w:val="a"/>
    <w:uiPriority w:val="39"/>
    <w:unhideWhenUsed/>
    <w:qFormat/>
    <w:rsid w:val="00BA6E2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b">
    <w:name w:val="Normal (Web)"/>
    <w:basedOn w:val="a"/>
    <w:uiPriority w:val="99"/>
    <w:semiHidden/>
    <w:unhideWhenUsed/>
    <w:qFormat/>
    <w:rsid w:val="00D15656"/>
    <w:pPr>
      <w:widowControl/>
      <w:adjustRightInd w:val="0"/>
      <w:snapToGrid w:val="0"/>
      <w:spacing w:after="200"/>
      <w:jc w:val="left"/>
    </w:pPr>
    <w:rPr>
      <w:rFonts w:ascii="Tahoma" w:eastAsia="微软雅黑" w:hAnsi="Tahoma" w:cstheme="minorBidi"/>
      <w:kern w:val="0"/>
      <w:sz w:val="24"/>
      <w:szCs w:val="22"/>
    </w:rPr>
  </w:style>
  <w:style w:type="paragraph" w:styleId="ac">
    <w:name w:val="Title"/>
    <w:basedOn w:val="a"/>
    <w:next w:val="a"/>
    <w:link w:val="Char3"/>
    <w:uiPriority w:val="10"/>
    <w:qFormat/>
    <w:rsid w:val="00D15656"/>
    <w:pPr>
      <w:widowControl/>
      <w:adjustRightInd w:val="0"/>
      <w:snapToGrid w:val="0"/>
      <w:spacing w:before="240" w:after="60"/>
      <w:jc w:val="center"/>
      <w:outlineLvl w:val="0"/>
    </w:pPr>
    <w:rPr>
      <w:rFonts w:ascii="Cambria" w:eastAsia="微软雅黑" w:hAnsi="Cambria" w:cstheme="minorBidi"/>
      <w:b/>
      <w:bCs/>
      <w:kern w:val="0"/>
      <w:sz w:val="32"/>
      <w:szCs w:val="32"/>
    </w:rPr>
  </w:style>
  <w:style w:type="character" w:customStyle="1" w:styleId="Char3">
    <w:name w:val="标题 Char"/>
    <w:basedOn w:val="a1"/>
    <w:link w:val="ac"/>
    <w:uiPriority w:val="10"/>
    <w:rsid w:val="00D15656"/>
    <w:rPr>
      <w:rFonts w:ascii="Cambria" w:eastAsia="微软雅黑"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7B1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B7B1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B7B1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B7B1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B7B1A"/>
    <w:pPr>
      <w:spacing w:beforeLines="30"/>
    </w:pPr>
    <w:rPr>
      <w:rFonts w:ascii="仿宋_GB2312" w:eastAsia="仿宋_GB2312"/>
      <w:kern w:val="0"/>
      <w:sz w:val="30"/>
    </w:rPr>
  </w:style>
  <w:style w:type="paragraph" w:styleId="30">
    <w:name w:val="toc 3"/>
    <w:basedOn w:val="a"/>
    <w:next w:val="a"/>
    <w:uiPriority w:val="39"/>
    <w:unhideWhenUsed/>
    <w:qFormat/>
    <w:rsid w:val="00FB7B1A"/>
    <w:pPr>
      <w:tabs>
        <w:tab w:val="right" w:leader="dot" w:pos="8296"/>
      </w:tabs>
      <w:ind w:leftChars="400" w:left="840"/>
    </w:pPr>
  </w:style>
  <w:style w:type="paragraph" w:styleId="a4">
    <w:name w:val="Balloon Text"/>
    <w:basedOn w:val="a"/>
    <w:link w:val="Char0"/>
    <w:uiPriority w:val="99"/>
    <w:semiHidden/>
    <w:unhideWhenUsed/>
    <w:qFormat/>
    <w:rsid w:val="00FB7B1A"/>
    <w:rPr>
      <w:sz w:val="18"/>
      <w:szCs w:val="18"/>
    </w:rPr>
  </w:style>
  <w:style w:type="paragraph" w:styleId="a5">
    <w:name w:val="footer"/>
    <w:basedOn w:val="a"/>
    <w:link w:val="Char1"/>
    <w:uiPriority w:val="99"/>
    <w:qFormat/>
    <w:rsid w:val="00FB7B1A"/>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FB7B1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FB7B1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B7B1A"/>
    <w:pPr>
      <w:tabs>
        <w:tab w:val="right" w:leader="dot" w:pos="8296"/>
      </w:tabs>
      <w:ind w:leftChars="200" w:left="420"/>
    </w:pPr>
  </w:style>
  <w:style w:type="character" w:styleId="a7">
    <w:name w:val="Strong"/>
    <w:basedOn w:val="a1"/>
    <w:uiPriority w:val="99"/>
    <w:qFormat/>
    <w:rsid w:val="00FB7B1A"/>
    <w:rPr>
      <w:b/>
    </w:rPr>
  </w:style>
  <w:style w:type="character" w:styleId="a8">
    <w:name w:val="Hyperlink"/>
    <w:basedOn w:val="a1"/>
    <w:uiPriority w:val="99"/>
    <w:unhideWhenUsed/>
    <w:qFormat/>
    <w:rsid w:val="00FB7B1A"/>
    <w:rPr>
      <w:color w:val="0000FF" w:themeColor="hyperlink"/>
      <w:u w:val="single"/>
    </w:rPr>
  </w:style>
  <w:style w:type="character" w:customStyle="1" w:styleId="HeaderChar">
    <w:name w:val="Header Char"/>
    <w:basedOn w:val="a1"/>
    <w:uiPriority w:val="99"/>
    <w:semiHidden/>
    <w:qFormat/>
    <w:rsid w:val="00FB7B1A"/>
    <w:rPr>
      <w:rFonts w:ascii="Times New Roman" w:hAnsi="Times New Roman"/>
      <w:sz w:val="18"/>
      <w:szCs w:val="18"/>
    </w:rPr>
  </w:style>
  <w:style w:type="character" w:customStyle="1" w:styleId="Char2">
    <w:name w:val="页眉 Char"/>
    <w:link w:val="a6"/>
    <w:uiPriority w:val="99"/>
    <w:semiHidden/>
    <w:qFormat/>
    <w:locked/>
    <w:rsid w:val="00FB7B1A"/>
    <w:rPr>
      <w:sz w:val="18"/>
    </w:rPr>
  </w:style>
  <w:style w:type="character" w:customStyle="1" w:styleId="FooterChar">
    <w:name w:val="Footer Char"/>
    <w:basedOn w:val="a1"/>
    <w:uiPriority w:val="99"/>
    <w:semiHidden/>
    <w:qFormat/>
    <w:rsid w:val="00FB7B1A"/>
    <w:rPr>
      <w:rFonts w:ascii="Times New Roman" w:hAnsi="Times New Roman"/>
      <w:sz w:val="18"/>
      <w:szCs w:val="18"/>
    </w:rPr>
  </w:style>
  <w:style w:type="character" w:customStyle="1" w:styleId="Char1">
    <w:name w:val="页脚 Char"/>
    <w:link w:val="a5"/>
    <w:uiPriority w:val="99"/>
    <w:qFormat/>
    <w:locked/>
    <w:rsid w:val="00FB7B1A"/>
    <w:rPr>
      <w:sz w:val="18"/>
    </w:rPr>
  </w:style>
  <w:style w:type="character" w:customStyle="1" w:styleId="BodyTextChar">
    <w:name w:val="Body Text Char"/>
    <w:basedOn w:val="a1"/>
    <w:uiPriority w:val="99"/>
    <w:semiHidden/>
    <w:qFormat/>
    <w:rsid w:val="00FB7B1A"/>
    <w:rPr>
      <w:rFonts w:ascii="Times New Roman" w:hAnsi="Times New Roman"/>
      <w:szCs w:val="24"/>
    </w:rPr>
  </w:style>
  <w:style w:type="character" w:customStyle="1" w:styleId="Char">
    <w:name w:val="正文文本 Char"/>
    <w:link w:val="a0"/>
    <w:uiPriority w:val="99"/>
    <w:qFormat/>
    <w:locked/>
    <w:rsid w:val="00FB7B1A"/>
    <w:rPr>
      <w:rFonts w:ascii="仿宋_GB2312" w:eastAsia="仿宋_GB2312" w:hAnsi="Times New Roman"/>
      <w:sz w:val="24"/>
    </w:rPr>
  </w:style>
  <w:style w:type="paragraph" w:customStyle="1" w:styleId="Default">
    <w:name w:val="Default"/>
    <w:uiPriority w:val="99"/>
    <w:qFormat/>
    <w:rsid w:val="00FB7B1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FB7B1A"/>
    <w:pPr>
      <w:ind w:firstLineChars="200" w:firstLine="420"/>
    </w:pPr>
  </w:style>
  <w:style w:type="character" w:customStyle="1" w:styleId="1Char">
    <w:name w:val="标题 1 Char"/>
    <w:basedOn w:val="a1"/>
    <w:link w:val="1"/>
    <w:uiPriority w:val="9"/>
    <w:qFormat/>
    <w:rsid w:val="00FB7B1A"/>
    <w:rPr>
      <w:rFonts w:ascii="Times New Roman" w:hAnsi="Times New Roman"/>
      <w:b/>
      <w:bCs/>
      <w:kern w:val="44"/>
      <w:sz w:val="44"/>
      <w:szCs w:val="44"/>
    </w:rPr>
  </w:style>
  <w:style w:type="character" w:customStyle="1" w:styleId="2Char">
    <w:name w:val="标题 2 Char"/>
    <w:basedOn w:val="a1"/>
    <w:link w:val="2"/>
    <w:uiPriority w:val="9"/>
    <w:qFormat/>
    <w:rsid w:val="00FB7B1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FB7B1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FB7B1A"/>
    <w:rPr>
      <w:rFonts w:ascii="Times New Roman" w:hAnsi="Times New Roman"/>
      <w:kern w:val="2"/>
      <w:sz w:val="18"/>
      <w:szCs w:val="18"/>
    </w:rPr>
  </w:style>
  <w:style w:type="character" w:customStyle="1" w:styleId="3Char">
    <w:name w:val="标题 3 Char"/>
    <w:basedOn w:val="a1"/>
    <w:link w:val="3"/>
    <w:uiPriority w:val="9"/>
    <w:qFormat/>
    <w:rsid w:val="00FB7B1A"/>
    <w:rPr>
      <w:rFonts w:ascii="Times New Roman" w:hAnsi="Times New Roman"/>
      <w:b/>
      <w:bCs/>
      <w:kern w:val="2"/>
      <w:sz w:val="32"/>
      <w:szCs w:val="32"/>
    </w:rPr>
  </w:style>
  <w:style w:type="paragraph" w:customStyle="1" w:styleId="TOC2">
    <w:name w:val="TOC 标题2"/>
    <w:basedOn w:val="1"/>
    <w:next w:val="a"/>
    <w:uiPriority w:val="39"/>
    <w:unhideWhenUsed/>
    <w:qFormat/>
    <w:rsid w:val="00FB7B1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styleId="aa">
    <w:name w:val="Table Grid"/>
    <w:basedOn w:val="a2"/>
    <w:uiPriority w:val="59"/>
    <w:rsid w:val="00873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无间隔1"/>
    <w:qFormat/>
    <w:rsid w:val="00CB0B23"/>
    <w:pPr>
      <w:widowControl w:val="0"/>
      <w:jc w:val="both"/>
    </w:pPr>
    <w:rPr>
      <w:rFonts w:ascii="Calibri" w:eastAsia="宋体" w:hAnsi="Calibri" w:cs="Times New Roman"/>
      <w:kern w:val="2"/>
      <w:sz w:val="21"/>
      <w:szCs w:val="22"/>
    </w:rPr>
  </w:style>
  <w:style w:type="paragraph" w:styleId="TOC">
    <w:name w:val="TOC Heading"/>
    <w:basedOn w:val="1"/>
    <w:next w:val="a"/>
    <w:uiPriority w:val="39"/>
    <w:unhideWhenUsed/>
    <w:qFormat/>
    <w:rsid w:val="00BA6E2C"/>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b">
    <w:name w:val="Normal (Web)"/>
    <w:basedOn w:val="a"/>
    <w:uiPriority w:val="99"/>
    <w:semiHidden/>
    <w:unhideWhenUsed/>
    <w:qFormat/>
    <w:rsid w:val="00D15656"/>
    <w:pPr>
      <w:widowControl/>
      <w:adjustRightInd w:val="0"/>
      <w:snapToGrid w:val="0"/>
      <w:spacing w:after="200"/>
      <w:jc w:val="left"/>
    </w:pPr>
    <w:rPr>
      <w:rFonts w:ascii="Tahoma" w:eastAsia="微软雅黑" w:hAnsi="Tahoma" w:cstheme="minorBidi"/>
      <w:kern w:val="0"/>
      <w:sz w:val="24"/>
      <w:szCs w:val="22"/>
    </w:rPr>
  </w:style>
  <w:style w:type="paragraph" w:styleId="ac">
    <w:name w:val="Title"/>
    <w:basedOn w:val="a"/>
    <w:next w:val="a"/>
    <w:link w:val="Char3"/>
    <w:uiPriority w:val="10"/>
    <w:qFormat/>
    <w:rsid w:val="00D15656"/>
    <w:pPr>
      <w:widowControl/>
      <w:adjustRightInd w:val="0"/>
      <w:snapToGrid w:val="0"/>
      <w:spacing w:before="240" w:after="60"/>
      <w:jc w:val="center"/>
      <w:outlineLvl w:val="0"/>
    </w:pPr>
    <w:rPr>
      <w:rFonts w:ascii="Cambria" w:eastAsia="微软雅黑" w:hAnsi="Cambria" w:cstheme="minorBidi"/>
      <w:b/>
      <w:bCs/>
      <w:kern w:val="0"/>
      <w:sz w:val="32"/>
      <w:szCs w:val="32"/>
    </w:rPr>
  </w:style>
  <w:style w:type="character" w:customStyle="1" w:styleId="Char3">
    <w:name w:val="标题 Char"/>
    <w:basedOn w:val="a1"/>
    <w:link w:val="ac"/>
    <w:uiPriority w:val="10"/>
    <w:rsid w:val="00D15656"/>
    <w:rPr>
      <w:rFonts w:ascii="Cambria" w:eastAsia="微软雅黑"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9773">
      <w:bodyDiv w:val="1"/>
      <w:marLeft w:val="0"/>
      <w:marRight w:val="0"/>
      <w:marTop w:val="0"/>
      <w:marBottom w:val="0"/>
      <w:divBdr>
        <w:top w:val="none" w:sz="0" w:space="0" w:color="auto"/>
        <w:left w:val="none" w:sz="0" w:space="0" w:color="auto"/>
        <w:bottom w:val="none" w:sz="0" w:space="0" w:color="auto"/>
        <w:right w:val="none" w:sz="0" w:space="0" w:color="auto"/>
      </w:divBdr>
    </w:div>
    <w:div w:id="343019804">
      <w:bodyDiv w:val="1"/>
      <w:marLeft w:val="0"/>
      <w:marRight w:val="0"/>
      <w:marTop w:val="0"/>
      <w:marBottom w:val="0"/>
      <w:divBdr>
        <w:top w:val="none" w:sz="0" w:space="0" w:color="auto"/>
        <w:left w:val="none" w:sz="0" w:space="0" w:color="auto"/>
        <w:bottom w:val="none" w:sz="0" w:space="0" w:color="auto"/>
        <w:right w:val="none" w:sz="0" w:space="0" w:color="auto"/>
      </w:divBdr>
    </w:div>
    <w:div w:id="429620414">
      <w:bodyDiv w:val="1"/>
      <w:marLeft w:val="0"/>
      <w:marRight w:val="0"/>
      <w:marTop w:val="0"/>
      <w:marBottom w:val="0"/>
      <w:divBdr>
        <w:top w:val="none" w:sz="0" w:space="0" w:color="auto"/>
        <w:left w:val="none" w:sz="0" w:space="0" w:color="auto"/>
        <w:bottom w:val="none" w:sz="0" w:space="0" w:color="auto"/>
        <w:right w:val="none" w:sz="0" w:space="0" w:color="auto"/>
      </w:divBdr>
    </w:div>
    <w:div w:id="507259264">
      <w:bodyDiv w:val="1"/>
      <w:marLeft w:val="0"/>
      <w:marRight w:val="0"/>
      <w:marTop w:val="0"/>
      <w:marBottom w:val="0"/>
      <w:divBdr>
        <w:top w:val="none" w:sz="0" w:space="0" w:color="auto"/>
        <w:left w:val="none" w:sz="0" w:space="0" w:color="auto"/>
        <w:bottom w:val="none" w:sz="0" w:space="0" w:color="auto"/>
        <w:right w:val="none" w:sz="0" w:space="0" w:color="auto"/>
      </w:divBdr>
    </w:div>
    <w:div w:id="1368027628">
      <w:bodyDiv w:val="1"/>
      <w:marLeft w:val="0"/>
      <w:marRight w:val="0"/>
      <w:marTop w:val="0"/>
      <w:marBottom w:val="0"/>
      <w:divBdr>
        <w:top w:val="none" w:sz="0" w:space="0" w:color="auto"/>
        <w:left w:val="none" w:sz="0" w:space="0" w:color="auto"/>
        <w:bottom w:val="none" w:sz="0" w:space="0" w:color="auto"/>
        <w:right w:val="none" w:sz="0" w:space="0" w:color="auto"/>
      </w:divBdr>
    </w:div>
    <w:div w:id="1526750371">
      <w:bodyDiv w:val="1"/>
      <w:marLeft w:val="0"/>
      <w:marRight w:val="0"/>
      <w:marTop w:val="0"/>
      <w:marBottom w:val="0"/>
      <w:divBdr>
        <w:top w:val="none" w:sz="0" w:space="0" w:color="auto"/>
        <w:left w:val="none" w:sz="0" w:space="0" w:color="auto"/>
        <w:bottom w:val="none" w:sz="0" w:space="0" w:color="auto"/>
        <w:right w:val="none" w:sz="0" w:space="0" w:color="auto"/>
      </w:divBdr>
    </w:div>
    <w:div w:id="1554852850">
      <w:bodyDiv w:val="1"/>
      <w:marLeft w:val="0"/>
      <w:marRight w:val="0"/>
      <w:marTop w:val="0"/>
      <w:marBottom w:val="0"/>
      <w:divBdr>
        <w:top w:val="none" w:sz="0" w:space="0" w:color="auto"/>
        <w:left w:val="none" w:sz="0" w:space="0" w:color="auto"/>
        <w:bottom w:val="none" w:sz="0" w:space="0" w:color="auto"/>
        <w:right w:val="none" w:sz="0" w:space="0" w:color="auto"/>
      </w:divBdr>
    </w:div>
    <w:div w:id="1752005488">
      <w:bodyDiv w:val="1"/>
      <w:marLeft w:val="0"/>
      <w:marRight w:val="0"/>
      <w:marTop w:val="0"/>
      <w:marBottom w:val="0"/>
      <w:divBdr>
        <w:top w:val="none" w:sz="0" w:space="0" w:color="auto"/>
        <w:left w:val="none" w:sz="0" w:space="0" w:color="auto"/>
        <w:bottom w:val="none" w:sz="0" w:space="0" w:color="auto"/>
        <w:right w:val="none" w:sz="0" w:space="0" w:color="auto"/>
      </w:divBdr>
    </w:div>
    <w:div w:id="175357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2A4-4B70-BD93-A83ACBE80D7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2A4-4B70-BD93-A83ACBE80D7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2A4-4B70-BD93-A83ACBE80D7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2A4-4B70-BD93-A83ACBE80D7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2A4-4B70-BD93-A83ACBE80D73}"/>
              </c:ext>
            </c:extLst>
          </c:dPt>
          <c:cat>
            <c:strRef>
              <c:f>Sheet1!$A$33:$A$37</c:f>
              <c:strCache>
                <c:ptCount val="5"/>
                <c:pt idx="0">
                  <c:v>教育支出</c:v>
                </c:pt>
                <c:pt idx="1">
                  <c:v>社会保障和就业支出</c:v>
                </c:pt>
                <c:pt idx="2">
                  <c:v>卫生健康支出</c:v>
                </c:pt>
                <c:pt idx="3">
                  <c:v>住房保障支出</c:v>
                </c:pt>
                <c:pt idx="4">
                  <c:v>灾害防治及应急管理支出</c:v>
                </c:pt>
              </c:strCache>
            </c:strRef>
          </c:cat>
          <c:val>
            <c:numRef>
              <c:f>Sheet1!$B$33:$B$37</c:f>
              <c:numCache>
                <c:formatCode>#,##0.00</c:formatCode>
                <c:ptCount val="5"/>
                <c:pt idx="0">
                  <c:v>67510904.709999993</c:v>
                </c:pt>
                <c:pt idx="1">
                  <c:v>7788313.8100000005</c:v>
                </c:pt>
                <c:pt idx="2">
                  <c:v>3308308</c:v>
                </c:pt>
                <c:pt idx="3">
                  <c:v>5400000</c:v>
                </c:pt>
                <c:pt idx="4">
                  <c:v>100000</c:v>
                </c:pt>
              </c:numCache>
            </c:numRef>
          </c:val>
          <c:extLst xmlns:c16r2="http://schemas.microsoft.com/office/drawing/2015/06/chart">
            <c:ext xmlns:c16="http://schemas.microsoft.com/office/drawing/2014/chart" uri="{C3380CC4-5D6E-409C-BE32-E72D297353CC}">
              <c16:uniqueId val="{0000000A-92A4-4B70-BD93-A83ACBE80D7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A5E2E-EBB1-4E94-B896-345AFCF5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3089</Words>
  <Characters>17613</Characters>
  <Application>Microsoft Office Word</Application>
  <DocSecurity>0</DocSecurity>
  <Lines>146</Lines>
  <Paragraphs>41</Paragraphs>
  <ScaleCrop>false</ScaleCrop>
  <Company>四川省财政厅</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dreamsummit</cp:lastModifiedBy>
  <cp:revision>3</cp:revision>
  <cp:lastPrinted>2022-08-06T02:23:00Z</cp:lastPrinted>
  <dcterms:created xsi:type="dcterms:W3CDTF">2022-10-14T01:11:00Z</dcterms:created>
  <dcterms:modified xsi:type="dcterms:W3CDTF">2022-10-14T01:21:00Z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